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ectPr>
          <w:headerReference w:type="default" r:id="rId9"/>
          <w:footerReference w:type="default" r:id="rId10"/>
          <w:pgSz w:w="11906" w:h="16838"/>
          <w:pgMar w:top="2948" w:right="1134" w:bottom="1020" w:left="1134" w:header="567" w:footer="510" w:gutter="0"/>
          <w:cols w:space="720"/>
          <w:docGrid w:linePitch="360"/>
        </w:sectPr>
      </w:pPr>
    </w:p>
    <w:p>
      <w:pPr>
        <w:spacing w:after="600"/>
      </w:pPr>
    </w:p>
    <w:p>
      <w:pPr>
        <w:spacing w:after="40"/>
      </w:pPr>
      <w:r>
        <w:rPr>
          <w:b/>
          <w:color w:val="0B3C5D"/>
          <w:sz w:val="80"/>
        </w:rPr>
        <w:t>Acme Co</w:t>
      </w:r>
    </w:p>
    <w:p>
      <w:pPr>
        <w:spacing w:after="280"/>
      </w:pPr>
      <w:r>
        <w:rPr>
          <w:color w:val="0B3C5D"/>
          <w:sz w:val="26"/>
        </w:rPr>
        <w:t>Industrial and office supply distribution</w:t>
      </w:r>
    </w:p>
    <w:p>
      <w:pPr>
        <w:spacing w:after="360"/>
        <w:pBdr>
          <w:bottom w:val="single" w:sz="16" w:space="1" w:color="0B3C5D"/>
        </w:pBdr>
      </w:pPr>
    </w:p>
    <w:p>
      <w:pPr>
        <w:spacing w:after="80"/>
      </w:pPr>
      <w:r>
        <w:rPr>
          <w:b/>
          <w:color w:val="0B3C5D"/>
          <w:sz w:val="56"/>
        </w:rPr>
        <w:t>Annual Report</w:t>
      </w:r>
    </w:p>
    <w:p>
      <w:pPr>
        <w:spacing w:after="400"/>
      </w:pPr>
      <w:r>
        <w:rPr>
          <w:color w:val="2B2B2B"/>
          <w:sz w:val="26"/>
        </w:rPr>
        <w:t>Fiscal Year 2025  ·  year ended 31 December 2025</w:t>
      </w:r>
    </w:p>
    <w:p>
      <w:pPr>
        <w:spacing w:after="120" w:before="0"/>
        <w:jc w:val="left"/>
      </w:pPr>
      <w:r>
        <w:rPr>
          <w:color w:val="2B2B2B"/>
          <w:sz w:val="22"/>
        </w:rPr>
        <w:t>FY2025 at a glance</w:t>
      </w:r>
    </w:p>
    <w:tbl>
      <w:tblPr>
        <w:tblW w:type="dxa" w:w="9638"/>
        <w:tblLayout w:type="fixed"/>
        <w:tblLook w:firstColumn="1" w:firstRow="1" w:lastColumn="0" w:lastRow="0" w:noHBand="0" w:noVBand="1" w:val="04A0"/>
        <w:tblBorders>
          <w:top w:val="single" w:sz="4" w:space="0" w:color="F2F4F5"/>
          <w:left w:val="single" w:sz="4" w:space="0" w:color="F2F4F5"/>
          <w:bottom w:val="single" w:sz="4" w:space="0" w:color="F2F4F5"/>
          <w:right w:val="single" w:sz="4" w:space="0" w:color="F2F4F5"/>
          <w:insideH w:val="single" w:sz="4" w:space="0" w:color="F2F4F5"/>
          <w:insideV w:val="single" w:sz="4" w:space="0" w:color="F2F4F5"/>
        </w:tblBorders>
        <w:tblCellMar>
          <w:left w:w="110" w:type="dxa"/>
          <w:right w:w="110" w:type="dxa"/>
          <w:top w:w="40" w:type="dxa"/>
          <w:bottom w:w="40" w:type="dxa"/>
        </w:tblCellMar>
      </w:tblPr>
      <w:tblGrid>
        <w:gridCol w:w="2948"/>
        <w:gridCol w:w="2268"/>
        <w:gridCol w:w="2268"/>
        <w:gridCol w:w="2154"/>
      </w:tblGrid>
      <w:tr>
        <w:tc>
          <w:tcPr>
            <w:tcW w:type="dxa" w:w="2948"/>
            <w:vAlign w:val="center"/>
            <w:shd w:val="clear" w:color="auto" w:fill="0B3C5D"/>
          </w:tcPr>
          <w:p>
            <w:pPr>
              <w:spacing w:after="0" w:line="240" w:lineRule="auto"/>
              <w:jc w:val="left"/>
            </w:pPr>
            <w:r>
              <w:rPr>
                <w:rFonts w:ascii="Helvetica" w:hAnsi="Helvetica"/>
                <w:b/>
                <w:color w:val="FFFFFF"/>
                <w:sz w:val="21"/>
              </w:rPr>
              <w:t>Metric</w:t>
            </w:r>
          </w:p>
        </w:tc>
        <w:tc>
          <w:tcPr>
            <w:tcW w:type="dxa" w:w="2268"/>
            <w:vAlign w:val="center"/>
            <w:shd w:val="clear" w:color="auto" w:fill="0B3C5D"/>
          </w:tcPr>
          <w:p>
            <w:pPr>
              <w:spacing w:after="0" w:line="240" w:lineRule="auto"/>
              <w:jc w:val="right"/>
            </w:pPr>
            <w:r>
              <w:rPr>
                <w:rFonts w:ascii="Helvetica" w:hAnsi="Helvetica"/>
                <w:b/>
                <w:color w:val="FFFFFF"/>
                <w:sz w:val="21"/>
              </w:rPr>
              <w:t>FY2025</w:t>
            </w:r>
          </w:p>
        </w:tc>
        <w:tc>
          <w:tcPr>
            <w:tcW w:type="dxa" w:w="2268"/>
            <w:vAlign w:val="center"/>
            <w:shd w:val="clear" w:color="auto" w:fill="0B3C5D"/>
          </w:tcPr>
          <w:p>
            <w:pPr>
              <w:spacing w:after="0" w:line="240" w:lineRule="auto"/>
              <w:jc w:val="right"/>
            </w:pPr>
            <w:r>
              <w:rPr>
                <w:rFonts w:ascii="Helvetica" w:hAnsi="Helvetica"/>
                <w:b/>
                <w:color w:val="FFFFFF"/>
                <w:sz w:val="21"/>
              </w:rPr>
              <w:t>FY2024</w:t>
            </w:r>
          </w:p>
        </w:tc>
        <w:tc>
          <w:tcPr>
            <w:tcW w:type="dxa" w:w="2154"/>
            <w:vAlign w:val="center"/>
            <w:shd w:val="clear" w:color="auto" w:fill="0B3C5D"/>
          </w:tcPr>
          <w:p>
            <w:pPr>
              <w:spacing w:after="0" w:line="240" w:lineRule="auto"/>
              <w:jc w:val="right"/>
            </w:pPr>
            <w:r>
              <w:rPr>
                <w:rFonts w:ascii="Helvetica" w:hAnsi="Helvetica"/>
                <w:b/>
                <w:color w:val="FFFFFF"/>
                <w:sz w:val="21"/>
              </w:rPr>
              <w:t>Change</w:t>
            </w:r>
          </w:p>
        </w:tc>
      </w:tr>
      <w:tr>
        <w:tc>
          <w:tcPr>
            <w:tcW w:type="dxa" w:w="2948"/>
            <w:vAlign w:val="center"/>
          </w:tcPr>
          <w:p>
            <w:pPr>
              <w:spacing w:after="0" w:line="240" w:lineRule="auto"/>
              <w:jc w:val="left"/>
            </w:pPr>
            <w:r>
              <w:rPr>
                <w:rFonts w:ascii="Helvetica" w:hAnsi="Helvetica"/>
                <w:b w:val="0"/>
                <w:color w:val="2B2B2B"/>
                <w:sz w:val="21"/>
              </w:rPr>
              <w:t>Revenue</w:t>
            </w:r>
          </w:p>
        </w:tc>
        <w:tc>
          <w:tcPr>
            <w:tcW w:type="dxa" w:w="2268"/>
            <w:vAlign w:val="center"/>
          </w:tcPr>
          <w:p>
            <w:pPr>
              <w:spacing w:after="0" w:line="240" w:lineRule="auto"/>
              <w:jc w:val="right"/>
            </w:pPr>
            <w:r>
              <w:rPr>
                <w:rFonts w:ascii="Helvetica" w:hAnsi="Helvetica"/>
                <w:b w:val="0"/>
                <w:color w:val="2B2B2B"/>
                <w:sz w:val="21"/>
              </w:rPr>
              <w:t>$69.1M</w:t>
            </w:r>
          </w:p>
        </w:tc>
        <w:tc>
          <w:tcPr>
            <w:tcW w:type="dxa" w:w="2268"/>
            <w:vAlign w:val="center"/>
          </w:tcPr>
          <w:p>
            <w:pPr>
              <w:spacing w:after="0" w:line="240" w:lineRule="auto"/>
              <w:jc w:val="right"/>
            </w:pPr>
            <w:r>
              <w:rPr>
                <w:rFonts w:ascii="Helvetica" w:hAnsi="Helvetica"/>
                <w:b w:val="0"/>
                <w:color w:val="2B2B2B"/>
                <w:sz w:val="21"/>
              </w:rPr>
              <w:t>$64.1M</w:t>
            </w:r>
          </w:p>
        </w:tc>
        <w:tc>
          <w:tcPr>
            <w:tcW w:type="dxa" w:w="2154"/>
            <w:vAlign w:val="center"/>
          </w:tcPr>
          <w:p>
            <w:pPr>
              <w:spacing w:after="0" w:line="240" w:lineRule="auto"/>
              <w:jc w:val="right"/>
            </w:pPr>
            <w:r>
              <w:rPr>
                <w:rFonts w:ascii="Helvetica" w:hAnsi="Helvetica"/>
                <w:b/>
                <w:color w:val="2B2B2B"/>
                <w:sz w:val="21"/>
              </w:rPr>
              <w:t>+7.9%</w:t>
            </w:r>
          </w:p>
        </w:tc>
      </w:tr>
      <w:tr>
        <w:tc>
          <w:tcPr>
            <w:tcW w:type="dxa" w:w="2948"/>
            <w:shd w:val="clear" w:color="auto" w:fill="F2F4F5"/>
            <w:vAlign w:val="center"/>
          </w:tcPr>
          <w:p>
            <w:pPr>
              <w:spacing w:after="0" w:line="240" w:lineRule="auto"/>
              <w:jc w:val="left"/>
            </w:pPr>
            <w:r>
              <w:rPr>
                <w:rFonts w:ascii="Helvetica" w:hAnsi="Helvetica"/>
                <w:b w:val="0"/>
                <w:color w:val="2B2B2B"/>
                <w:sz w:val="21"/>
              </w:rPr>
              <w:t>Gross profit</w:t>
            </w:r>
          </w:p>
        </w:tc>
        <w:tc>
          <w:tcPr>
            <w:tcW w:type="dxa" w:w="2268"/>
            <w:shd w:val="clear" w:color="auto" w:fill="F2F4F5"/>
            <w:vAlign w:val="center"/>
          </w:tcPr>
          <w:p>
            <w:pPr>
              <w:spacing w:after="0" w:line="240" w:lineRule="auto"/>
              <w:jc w:val="right"/>
            </w:pPr>
            <w:r>
              <w:rPr>
                <w:rFonts w:ascii="Helvetica" w:hAnsi="Helvetica"/>
                <w:b w:val="0"/>
                <w:color w:val="2B2B2B"/>
                <w:sz w:val="21"/>
              </w:rPr>
              <w:t>$20.7M</w:t>
            </w:r>
          </w:p>
        </w:tc>
        <w:tc>
          <w:tcPr>
            <w:tcW w:type="dxa" w:w="2268"/>
            <w:shd w:val="clear" w:color="auto" w:fill="F2F4F5"/>
            <w:vAlign w:val="center"/>
          </w:tcPr>
          <w:p>
            <w:pPr>
              <w:spacing w:after="0" w:line="240" w:lineRule="auto"/>
              <w:jc w:val="right"/>
            </w:pPr>
            <w:r>
              <w:rPr>
                <w:rFonts w:ascii="Helvetica" w:hAnsi="Helvetica"/>
                <w:b w:val="0"/>
                <w:color w:val="2B2B2B"/>
                <w:sz w:val="21"/>
              </w:rPr>
              <w:t>$19.5M</w:t>
            </w:r>
          </w:p>
        </w:tc>
        <w:tc>
          <w:tcPr>
            <w:tcW w:type="dxa" w:w="2154"/>
            <w:shd w:val="clear" w:color="auto" w:fill="F2F4F5"/>
            <w:vAlign w:val="center"/>
          </w:tcPr>
          <w:p>
            <w:pPr>
              <w:spacing w:after="0" w:line="240" w:lineRule="auto"/>
              <w:jc w:val="right"/>
            </w:pPr>
            <w:r>
              <w:rPr>
                <w:rFonts w:ascii="Helvetica" w:hAnsi="Helvetica"/>
                <w:b/>
                <w:color w:val="2B2B2B"/>
                <w:sz w:val="21"/>
              </w:rPr>
              <w:t>+6.4%</w:t>
            </w:r>
          </w:p>
        </w:tc>
      </w:tr>
      <w:tr>
        <w:tc>
          <w:tcPr>
            <w:tcW w:type="dxa" w:w="2948"/>
            <w:vAlign w:val="center"/>
          </w:tcPr>
          <w:p>
            <w:pPr>
              <w:spacing w:after="0" w:line="240" w:lineRule="auto"/>
              <w:jc w:val="left"/>
            </w:pPr>
            <w:r>
              <w:rPr>
                <w:rFonts w:ascii="Helvetica" w:hAnsi="Helvetica"/>
                <w:b w:val="0"/>
                <w:color w:val="2B2B2B"/>
                <w:sz w:val="21"/>
              </w:rPr>
              <w:t>Gross margin</w:t>
            </w:r>
          </w:p>
        </w:tc>
        <w:tc>
          <w:tcPr>
            <w:tcW w:type="dxa" w:w="2268"/>
            <w:vAlign w:val="center"/>
          </w:tcPr>
          <w:p>
            <w:pPr>
              <w:spacing w:after="0" w:line="240" w:lineRule="auto"/>
              <w:jc w:val="right"/>
            </w:pPr>
            <w:r>
              <w:rPr>
                <w:rFonts w:ascii="Helvetica" w:hAnsi="Helvetica"/>
                <w:b w:val="0"/>
                <w:color w:val="2B2B2B"/>
                <w:sz w:val="21"/>
              </w:rPr>
              <w:t>30.0%</w:t>
            </w:r>
          </w:p>
        </w:tc>
        <w:tc>
          <w:tcPr>
            <w:tcW w:type="dxa" w:w="2268"/>
            <w:vAlign w:val="center"/>
          </w:tcPr>
          <w:p>
            <w:pPr>
              <w:spacing w:after="0" w:line="240" w:lineRule="auto"/>
              <w:jc w:val="right"/>
            </w:pPr>
            <w:r>
              <w:rPr>
                <w:rFonts w:ascii="Helvetica" w:hAnsi="Helvetica"/>
                <w:b w:val="0"/>
                <w:color w:val="2B2B2B"/>
                <w:sz w:val="21"/>
              </w:rPr>
              <w:t>30.4%</w:t>
            </w:r>
          </w:p>
        </w:tc>
        <w:tc>
          <w:tcPr>
            <w:tcW w:type="dxa" w:w="2154"/>
            <w:vAlign w:val="center"/>
          </w:tcPr>
          <w:p>
            <w:pPr>
              <w:spacing w:after="0" w:line="240" w:lineRule="auto"/>
              <w:jc w:val="right"/>
            </w:pPr>
            <w:r>
              <w:rPr>
                <w:rFonts w:ascii="Helvetica" w:hAnsi="Helvetica"/>
                <w:b/>
                <w:color w:val="A63D40"/>
                <w:sz w:val="21"/>
              </w:rPr>
              <w:t>−0.4 pts</w:t>
            </w:r>
          </w:p>
        </w:tc>
      </w:tr>
      <w:tr>
        <w:tc>
          <w:tcPr>
            <w:tcW w:type="dxa" w:w="2948"/>
            <w:shd w:val="clear" w:color="auto" w:fill="F2F4F5"/>
            <w:vAlign w:val="center"/>
          </w:tcPr>
          <w:p>
            <w:pPr>
              <w:spacing w:after="0" w:line="240" w:lineRule="auto"/>
              <w:jc w:val="left"/>
            </w:pPr>
            <w:r>
              <w:rPr>
                <w:rFonts w:ascii="Helvetica" w:hAnsi="Helvetica"/>
                <w:b w:val="0"/>
                <w:color w:val="2B2B2B"/>
                <w:sz w:val="21"/>
              </w:rPr>
              <w:t>Orders</w:t>
            </w:r>
          </w:p>
        </w:tc>
        <w:tc>
          <w:tcPr>
            <w:tcW w:type="dxa" w:w="2268"/>
            <w:shd w:val="clear" w:color="auto" w:fill="F2F4F5"/>
            <w:vAlign w:val="center"/>
          </w:tcPr>
          <w:p>
            <w:pPr>
              <w:spacing w:after="0" w:line="240" w:lineRule="auto"/>
              <w:jc w:val="right"/>
            </w:pPr>
            <w:r>
              <w:rPr>
                <w:rFonts w:ascii="Helvetica" w:hAnsi="Helvetica"/>
                <w:b w:val="0"/>
                <w:color w:val="2B2B2B"/>
                <w:sz w:val="21"/>
              </w:rPr>
              <w:t>6,358</w:t>
            </w:r>
          </w:p>
        </w:tc>
        <w:tc>
          <w:tcPr>
            <w:tcW w:type="dxa" w:w="2268"/>
            <w:shd w:val="clear" w:color="auto" w:fill="F2F4F5"/>
            <w:vAlign w:val="center"/>
          </w:tcPr>
          <w:p>
            <w:pPr>
              <w:spacing w:after="0" w:line="240" w:lineRule="auto"/>
              <w:jc w:val="right"/>
            </w:pPr>
            <w:r>
              <w:rPr>
                <w:rFonts w:ascii="Helvetica" w:hAnsi="Helvetica"/>
                <w:b w:val="0"/>
                <w:color w:val="2B2B2B"/>
                <w:sz w:val="21"/>
              </w:rPr>
              <w:t>6,071</w:t>
            </w:r>
          </w:p>
        </w:tc>
        <w:tc>
          <w:tcPr>
            <w:tcW w:type="dxa" w:w="2154"/>
            <w:shd w:val="clear" w:color="auto" w:fill="F2F4F5"/>
            <w:vAlign w:val="center"/>
          </w:tcPr>
          <w:p>
            <w:pPr>
              <w:spacing w:after="0" w:line="240" w:lineRule="auto"/>
              <w:jc w:val="right"/>
            </w:pPr>
            <w:r>
              <w:rPr>
                <w:rFonts w:ascii="Helvetica" w:hAnsi="Helvetica"/>
                <w:b/>
                <w:color w:val="2B2B2B"/>
                <w:sz w:val="21"/>
              </w:rPr>
              <w:t>+4.7%</w:t>
            </w:r>
          </w:p>
        </w:tc>
      </w:tr>
    </w:tbl>
    <w:p>
      <w:pPr>
        <w:spacing w:after="280"/>
      </w:pPr>
    </w:p>
    <w:p>
      <w:pPr>
        <w:spacing w:after="120" w:before="0"/>
        <w:jc w:val="left"/>
      </w:pPr>
      <w:r>
        <w:rPr>
          <w:color w:val="2B2B2B"/>
          <w:sz w:val="22"/>
        </w:rPr>
        <w:t>In this report</w:t>
      </w:r>
    </w:p>
    <w:p>
      <w:pPr>
        <w:spacing w:after="40"/>
      </w:pPr>
      <w:r>
        <w:rPr>
          <w:color w:val="2B2B2B"/>
          <w:sz w:val="21"/>
        </w:rPr>
        <w:t>—  Letter to shareholders</w:t>
      </w:r>
    </w:p>
    <w:p>
      <w:pPr>
        <w:spacing w:after="40"/>
      </w:pPr>
      <w:r>
        <w:rPr>
          <w:color w:val="2B2B2B"/>
          <w:sz w:val="21"/>
        </w:rPr>
        <w:t>—  FY2025 financial review</w:t>
      </w:r>
    </w:p>
    <w:p>
      <w:pPr>
        <w:spacing w:after="40"/>
      </w:pPr>
      <w:r>
        <w:rPr>
          <w:color w:val="2B2B2B"/>
          <w:sz w:val="21"/>
        </w:rPr>
        <w:t>—  Category performance</w:t>
      </w:r>
    </w:p>
    <w:p>
      <w:pPr>
        <w:spacing w:after="40"/>
      </w:pPr>
      <w:r>
        <w:rPr>
          <w:color w:val="2B2B2B"/>
          <w:sz w:val="21"/>
        </w:rPr>
        <w:t>—  Customer and geographic performance</w:t>
      </w:r>
    </w:p>
    <w:p>
      <w:pPr>
        <w:spacing w:after="40"/>
      </w:pPr>
      <w:r>
        <w:rPr>
          <w:color w:val="2B2B2B"/>
          <w:sz w:val="21"/>
        </w:rPr>
        <w:t>—  Risk factors</w:t>
      </w:r>
    </w:p>
    <w:p>
      <w:pPr>
        <w:spacing w:after="40"/>
      </w:pPr>
      <w:r>
        <w:rPr>
          <w:color w:val="2B2B2B"/>
          <w:sz w:val="21"/>
        </w:rPr>
        <w:t>—  Outlook for FY2026</w:t>
      </w:r>
    </w:p>
    <w:p>
      <w:pPr>
        <w:spacing w:after="120"/>
      </w:pPr>
    </w:p>
    <w:p>
      <w:pPr>
        <w:spacing w:after="120"/>
      </w:pPr>
    </w:p>
    <w:p>
      <w:pPr>
        <w:spacing w:after="20"/>
      </w:pPr>
      <w:r>
        <w:rPr>
          <w:color w:val="2B2B2B"/>
          <w:sz w:val="20"/>
        </w:rPr>
        <w:t>Head office:  2200 Industrial Parkway, Toronto, ON M9W 0A1, Canada</w:t>
      </w:r>
    </w:p>
    <w:p>
      <w:pPr>
        <w:spacing w:after="40"/>
      </w:pPr>
      <w:r>
        <w:rPr>
          <w:color w:val="2B2B2B"/>
          <w:sz w:val="20"/>
        </w:rPr>
        <w:t>Gulf office:  Office 1408, Harbour Tower, Dubai, United Arab Emirates</w:t>
      </w:r>
    </w:p>
    <w:p>
      <w:r>
        <w:rPr>
          <w:i/>
          <w:color w:val="2B2B2B"/>
          <w:sz w:val="20"/>
        </w:rPr>
        <w:t>Prepared for Acme Co shareholders. All figures from the FY2025 fact sheet unless marked as computed.</w:t>
      </w:r>
    </w:p>
    <w:p>
      <w:r>
        <w:br w:type="page"/>
      </w:r>
      <w:pPr>
        <w:pStyle w:val="Heading1"/>
        <w:pBdr>
          <w:bottom w:val="single" w:sz="8" w:space="4" w:color="C9A227"/>
        </w:pBdr>
      </w:pPr>
      <w:r>
        <w:t>1.  Letter to shareholders</w:t>
      </w:r>
    </w:p>
    <w:p>
      <w:pPr>
        <w:spacing w:after="160"/>
      </w:pPr>
      <w:r>
        <w:rPr>
          <w:color w:val="2B2B2B"/>
        </w:rPr>
        <w:t>Dear fellow shareholders,</w:t>
      </w:r>
    </w:p>
    <w:p>
      <w:pPr>
        <w:spacing w:after="160" w:before="0"/>
        <w:jc w:val="both"/>
      </w:pPr>
      <w:r>
        <w:rPr>
          <w:color w:val="2B2B2B"/>
          <w:sz w:val="21"/>
        </w:rPr>
        <w:t>On behalf of the board and the management team, I am pleased to present Acme Co’s annual report for fiscal year 2025. Acme Co distributes industrial and office supplies to customers in Canada and the Gulf, operating from our head office in Toronto and our office in Dubai. FY2025 was a year of steady, well-balanced progress for the business.</w:t>
      </w:r>
    </w:p>
    <w:p>
      <w:pPr>
        <w:spacing w:after="160" w:before="0"/>
        <w:jc w:val="both"/>
      </w:pPr>
      <w:r>
        <w:rPr>
          <w:color w:val="2B2B2B"/>
          <w:sz w:val="21"/>
        </w:rPr>
        <w:t>The headline numbers: revenue reached $69.1 million, up 7.9% from $64.1 million in FY2024. Gross profit was $20.7 million, up 6.4% from $19.5 million, and gross margin finished at 30.0%, a 0.4-point decline from 30.4% in the prior year. We processed 6,358 orders, 4.7% more than the 6,071 orders of FY2024. Because revenue grew faster than order count, our average revenue per order rose from roughly $10,559 to roughly $10,875 (computed from revenue and order counts in the fact sheet), evidence that our customers are taking more responsibility for their supply needs from us.</w:t>
      </w:r>
    </w:p>
    <w:p>
      <w:pPr>
        <w:spacing w:after="160" w:before="0"/>
        <w:jc w:val="both"/>
      </w:pPr>
      <w:r>
        <w:rPr>
          <w:color w:val="2B2B2B"/>
          <w:sz w:val="21"/>
        </w:rPr>
        <w:t>By category, Material Handling remains the engine of the business at 56.0% of revenue, with Electrical contributing 17.6%. The eight remaining categories together account for 26.4% (computed). By customer, our base is healthy and diversified: our top 20 customers represent 13.65% of revenue, and no single customer exceeds 1.34%. By geography, Canada delivered 69.7% of revenue and the Gulf region 26.7% (computed), with the United States at 3.6%.</w:t>
      </w:r>
    </w:p>
    <w:p>
      <w:pPr>
        <w:spacing w:after="160" w:before="0"/>
        <w:jc w:val="both"/>
      </w:pPr>
      <w:r>
        <w:rPr>
          <w:color w:val="2B2B2B"/>
          <w:sz w:val="21"/>
        </w:rPr>
        <w:t>We are candid about our principal risk: a category mix in which a single line carries 56.0% of revenue. Our FY2026 priorities, set out in Section 6, are therefore built around broadening the category portfolio, deepening the Gulf, and defending a 30% gross margin. We are confident the foundations of FY2025 support the plan that follows, and we thank you for your continued confidence in Acme Co.</w:t>
      </w:r>
    </w:p>
    <w:p>
      <w:pPr>
        <w:spacing w:before="160" w:after="40"/>
      </w:pPr>
      <w:r>
        <w:rPr>
          <w:b/>
          <w:color w:val="2B2B2B"/>
        </w:rPr>
        <w:t>The Management of Acme Co</w:t>
      </w:r>
    </w:p>
    <w:p>
      <w:r>
        <w:rPr>
          <w:color w:val="2B2B2B"/>
          <w:sz w:val="20"/>
        </w:rPr>
        <w:t>2200 Industrial Parkway, Toronto, ON M9W 0A1, Canada  ·  Office 1408, Harbour Tower, Dubai, UAE</w:t>
      </w:r>
    </w:p>
    <w:p>
      <w:r>
        <w:br w:type="page"/>
      </w:r>
      <w:pPr>
        <w:pStyle w:val="Heading1"/>
        <w:pBdr>
          <w:bottom w:val="single" w:sz="8" w:space="4" w:color="C9A227"/>
        </w:pBdr>
      </w:pPr>
      <w:r>
        <w:t>2.  FY2025 financial review</w:t>
      </w:r>
    </w:p>
    <w:p>
      <w:pPr>
        <w:spacing w:after="160" w:before="0"/>
        <w:jc w:val="both"/>
      </w:pPr>
      <w:r>
        <w:rPr>
          <w:color w:val="2B2B2B"/>
          <w:sz w:val="21"/>
        </w:rPr>
        <w:t>Acme Co closed FY2025 with revenue of $69.1 million, an increase of 7.9% from $64.1 million in FY2024. Gross profit was $20.7 million, up 6.4% on the year, on gross margin of 30.0% — 0.4 points below the prior-year gross margin of 30.4%. Order volume grew 4.7%, from 6,071 to 6,358 orders. The table below summarises the year; the detailed monthly figures appear in the fact sheet.</w:t>
      </w:r>
    </w:p>
    <w:tbl>
      <w:tblPr>
        <w:tblW w:type="dxa" w:w="9638"/>
        <w:tblLayout w:type="fixed"/>
        <w:tblLook w:firstColumn="1" w:firstRow="1" w:lastColumn="0" w:lastRow="0" w:noHBand="0" w:noVBand="1" w:val="04A0"/>
        <w:tblBorders>
          <w:top w:val="single" w:sz="4" w:space="0" w:color="F2F4F5"/>
          <w:left w:val="single" w:sz="4" w:space="0" w:color="F2F4F5"/>
          <w:bottom w:val="single" w:sz="4" w:space="0" w:color="F2F4F5"/>
          <w:right w:val="single" w:sz="4" w:space="0" w:color="F2F4F5"/>
          <w:insideH w:val="single" w:sz="4" w:space="0" w:color="F2F4F5"/>
          <w:insideV w:val="single" w:sz="4" w:space="0" w:color="F2F4F5"/>
        </w:tblBorders>
        <w:tblCellMar>
          <w:left w:w="110" w:type="dxa"/>
          <w:right w:w="110" w:type="dxa"/>
          <w:top w:w="40" w:type="dxa"/>
          <w:bottom w:w="40" w:type="dxa"/>
        </w:tblCellMar>
      </w:tblPr>
      <w:tblGrid>
        <w:gridCol w:w="3061"/>
        <w:gridCol w:w="2268"/>
        <w:gridCol w:w="2268"/>
        <w:gridCol w:w="2041"/>
      </w:tblGrid>
      <w:tr>
        <w:tc>
          <w:tcPr>
            <w:tcW w:type="dxa" w:w="3061"/>
            <w:vAlign w:val="center"/>
            <w:shd w:val="clear" w:color="auto" w:fill="0B3C5D"/>
          </w:tcPr>
          <w:p>
            <w:pPr>
              <w:spacing w:after="0" w:line="240" w:lineRule="auto"/>
              <w:jc w:val="left"/>
            </w:pPr>
            <w:r>
              <w:rPr>
                <w:rFonts w:ascii="Helvetica" w:hAnsi="Helvetica"/>
                <w:b/>
                <w:color w:val="FFFFFF"/>
                <w:sz w:val="21"/>
              </w:rPr>
              <w:t>Metric</w:t>
            </w:r>
          </w:p>
        </w:tc>
        <w:tc>
          <w:tcPr>
            <w:tcW w:type="dxa" w:w="2268"/>
            <w:vAlign w:val="center"/>
            <w:shd w:val="clear" w:color="auto" w:fill="0B3C5D"/>
          </w:tcPr>
          <w:p>
            <w:pPr>
              <w:spacing w:after="0" w:line="240" w:lineRule="auto"/>
              <w:jc w:val="right"/>
            </w:pPr>
            <w:r>
              <w:rPr>
                <w:rFonts w:ascii="Helvetica" w:hAnsi="Helvetica"/>
                <w:b/>
                <w:color w:val="FFFFFF"/>
                <w:sz w:val="21"/>
              </w:rPr>
              <w:t>FY2025</w:t>
            </w:r>
          </w:p>
        </w:tc>
        <w:tc>
          <w:tcPr>
            <w:tcW w:type="dxa" w:w="2268"/>
            <w:vAlign w:val="center"/>
            <w:shd w:val="clear" w:color="auto" w:fill="0B3C5D"/>
          </w:tcPr>
          <w:p>
            <w:pPr>
              <w:spacing w:after="0" w:line="240" w:lineRule="auto"/>
              <w:jc w:val="right"/>
            </w:pPr>
            <w:r>
              <w:rPr>
                <w:rFonts w:ascii="Helvetica" w:hAnsi="Helvetica"/>
                <w:b/>
                <w:color w:val="FFFFFF"/>
                <w:sz w:val="21"/>
              </w:rPr>
              <w:t>FY2024</w:t>
            </w:r>
          </w:p>
        </w:tc>
        <w:tc>
          <w:tcPr>
            <w:tcW w:type="dxa" w:w="2041"/>
            <w:vAlign w:val="center"/>
            <w:shd w:val="clear" w:color="auto" w:fill="0B3C5D"/>
          </w:tcPr>
          <w:p>
            <w:pPr>
              <w:spacing w:after="0" w:line="240" w:lineRule="auto"/>
              <w:jc w:val="right"/>
            </w:pPr>
            <w:r>
              <w:rPr>
                <w:rFonts w:ascii="Helvetica" w:hAnsi="Helvetica"/>
                <w:b/>
                <w:color w:val="FFFFFF"/>
                <w:sz w:val="21"/>
              </w:rPr>
              <w:t>Year over year</w:t>
            </w:r>
          </w:p>
        </w:tc>
      </w:tr>
      <w:tr>
        <w:tc>
          <w:tcPr>
            <w:tcW w:type="dxa" w:w="3061"/>
            <w:vAlign w:val="center"/>
          </w:tcPr>
          <w:p>
            <w:pPr>
              <w:spacing w:after="0" w:line="240" w:lineRule="auto"/>
              <w:jc w:val="left"/>
            </w:pPr>
            <w:r>
              <w:rPr>
                <w:rFonts w:ascii="Helvetica" w:hAnsi="Helvetica"/>
                <w:b w:val="0"/>
                <w:color w:val="2B2B2B"/>
                <w:sz w:val="21"/>
              </w:rPr>
              <w:t>Revenue</w:t>
            </w:r>
          </w:p>
        </w:tc>
        <w:tc>
          <w:tcPr>
            <w:tcW w:type="dxa" w:w="2268"/>
            <w:vAlign w:val="center"/>
          </w:tcPr>
          <w:p>
            <w:pPr>
              <w:spacing w:after="0" w:line="240" w:lineRule="auto"/>
              <w:jc w:val="right"/>
            </w:pPr>
            <w:r>
              <w:rPr>
                <w:rFonts w:ascii="Helvetica" w:hAnsi="Helvetica"/>
                <w:b w:val="0"/>
                <w:color w:val="2B2B2B"/>
                <w:sz w:val="21"/>
              </w:rPr>
              <w:t>$69.1M</w:t>
            </w:r>
          </w:p>
        </w:tc>
        <w:tc>
          <w:tcPr>
            <w:tcW w:type="dxa" w:w="2268"/>
            <w:vAlign w:val="center"/>
          </w:tcPr>
          <w:p>
            <w:pPr>
              <w:spacing w:after="0" w:line="240" w:lineRule="auto"/>
              <w:jc w:val="right"/>
            </w:pPr>
            <w:r>
              <w:rPr>
                <w:rFonts w:ascii="Helvetica" w:hAnsi="Helvetica"/>
                <w:b w:val="0"/>
                <w:color w:val="2B2B2B"/>
                <w:sz w:val="21"/>
              </w:rPr>
              <w:t>$64.1M</w:t>
            </w:r>
          </w:p>
        </w:tc>
        <w:tc>
          <w:tcPr>
            <w:tcW w:type="dxa" w:w="2041"/>
            <w:vAlign w:val="center"/>
          </w:tcPr>
          <w:p>
            <w:pPr>
              <w:spacing w:after="0" w:line="240" w:lineRule="auto"/>
              <w:jc w:val="right"/>
            </w:pPr>
            <w:r>
              <w:rPr>
                <w:rFonts w:ascii="Helvetica" w:hAnsi="Helvetica"/>
                <w:b w:val="0"/>
                <w:color w:val="2B2B2B"/>
                <w:sz w:val="21"/>
              </w:rPr>
              <w:t>+7.9%</w:t>
            </w:r>
          </w:p>
        </w:tc>
      </w:tr>
      <w:tr>
        <w:tc>
          <w:tcPr>
            <w:tcW w:type="dxa" w:w="3061"/>
            <w:shd w:val="clear" w:color="auto" w:fill="F2F4F5"/>
            <w:vAlign w:val="center"/>
          </w:tcPr>
          <w:p>
            <w:pPr>
              <w:spacing w:after="0" w:line="240" w:lineRule="auto"/>
              <w:jc w:val="left"/>
            </w:pPr>
            <w:r>
              <w:rPr>
                <w:rFonts w:ascii="Helvetica" w:hAnsi="Helvetica"/>
                <w:b w:val="0"/>
                <w:color w:val="2B2B2B"/>
                <w:sz w:val="21"/>
              </w:rPr>
              <w:t>Cost of goods sold</w:t>
            </w:r>
          </w:p>
        </w:tc>
        <w:tc>
          <w:tcPr>
            <w:tcW w:type="dxa" w:w="2268"/>
            <w:shd w:val="clear" w:color="auto" w:fill="F2F4F5"/>
            <w:vAlign w:val="center"/>
          </w:tcPr>
          <w:p>
            <w:pPr>
              <w:spacing w:after="0" w:line="240" w:lineRule="auto"/>
              <w:jc w:val="right"/>
            </w:pPr>
            <w:r>
              <w:rPr>
                <w:rFonts w:ascii="Helvetica" w:hAnsi="Helvetica"/>
                <w:b w:val="0"/>
                <w:color w:val="2B2B2B"/>
                <w:sz w:val="21"/>
              </w:rPr>
              <w:t>$48.4M</w:t>
            </w:r>
          </w:p>
        </w:tc>
        <w:tc>
          <w:tcPr>
            <w:tcW w:type="dxa" w:w="2268"/>
            <w:shd w:val="clear" w:color="auto" w:fill="F2F4F5"/>
            <w:vAlign w:val="center"/>
          </w:tcPr>
          <w:p>
            <w:pPr>
              <w:spacing w:after="0" w:line="240" w:lineRule="auto"/>
              <w:jc w:val="right"/>
            </w:pPr>
            <w:r>
              <w:rPr>
                <w:rFonts w:ascii="Helvetica" w:hAnsi="Helvetica"/>
                <w:b w:val="0"/>
                <w:color w:val="2B2B2B"/>
                <w:sz w:val="21"/>
              </w:rPr>
              <w:t>$44.6M</w:t>
            </w:r>
          </w:p>
        </w:tc>
        <w:tc>
          <w:tcPr>
            <w:tcW w:type="dxa" w:w="2041"/>
            <w:shd w:val="clear" w:color="auto" w:fill="F2F4F5"/>
            <w:vAlign w:val="center"/>
          </w:tcPr>
          <w:p>
            <w:pPr>
              <w:spacing w:after="0" w:line="240" w:lineRule="auto"/>
              <w:jc w:val="right"/>
            </w:pPr>
            <w:r>
              <w:rPr>
                <w:rFonts w:ascii="Helvetica" w:hAnsi="Helvetica"/>
                <w:b w:val="0"/>
                <w:color w:val="2B2B2B"/>
                <w:sz w:val="21"/>
              </w:rPr>
              <w:t>—</w:t>
            </w:r>
          </w:p>
        </w:tc>
      </w:tr>
      <w:tr>
        <w:tc>
          <w:tcPr>
            <w:tcW w:type="dxa" w:w="3061"/>
            <w:vAlign w:val="center"/>
          </w:tcPr>
          <w:p>
            <w:pPr>
              <w:spacing w:after="0" w:line="240" w:lineRule="auto"/>
              <w:jc w:val="left"/>
            </w:pPr>
            <w:r>
              <w:rPr>
                <w:rFonts w:ascii="Helvetica" w:hAnsi="Helvetica"/>
                <w:b w:val="0"/>
                <w:color w:val="2B2B2B"/>
                <w:sz w:val="21"/>
              </w:rPr>
              <w:t>Gross profit</w:t>
            </w:r>
          </w:p>
        </w:tc>
        <w:tc>
          <w:tcPr>
            <w:tcW w:type="dxa" w:w="2268"/>
            <w:vAlign w:val="center"/>
          </w:tcPr>
          <w:p>
            <w:pPr>
              <w:spacing w:after="0" w:line="240" w:lineRule="auto"/>
              <w:jc w:val="right"/>
            </w:pPr>
            <w:r>
              <w:rPr>
                <w:rFonts w:ascii="Helvetica" w:hAnsi="Helvetica"/>
                <w:b w:val="0"/>
                <w:color w:val="2B2B2B"/>
                <w:sz w:val="21"/>
              </w:rPr>
              <w:t>$20.7M</w:t>
            </w:r>
          </w:p>
        </w:tc>
        <w:tc>
          <w:tcPr>
            <w:tcW w:type="dxa" w:w="2268"/>
            <w:vAlign w:val="center"/>
          </w:tcPr>
          <w:p>
            <w:pPr>
              <w:spacing w:after="0" w:line="240" w:lineRule="auto"/>
              <w:jc w:val="right"/>
            </w:pPr>
            <w:r>
              <w:rPr>
                <w:rFonts w:ascii="Helvetica" w:hAnsi="Helvetica"/>
                <w:b w:val="0"/>
                <w:color w:val="2B2B2B"/>
                <w:sz w:val="21"/>
              </w:rPr>
              <w:t>$19.5M</w:t>
            </w:r>
          </w:p>
        </w:tc>
        <w:tc>
          <w:tcPr>
            <w:tcW w:type="dxa" w:w="2041"/>
            <w:vAlign w:val="center"/>
          </w:tcPr>
          <w:p>
            <w:pPr>
              <w:spacing w:after="0" w:line="240" w:lineRule="auto"/>
              <w:jc w:val="right"/>
            </w:pPr>
            <w:r>
              <w:rPr>
                <w:rFonts w:ascii="Helvetica" w:hAnsi="Helvetica"/>
                <w:b w:val="0"/>
                <w:color w:val="2B2B2B"/>
                <w:sz w:val="21"/>
              </w:rPr>
              <w:t>+6.4%</w:t>
            </w:r>
          </w:p>
        </w:tc>
      </w:tr>
      <w:tr>
        <w:tc>
          <w:tcPr>
            <w:tcW w:type="dxa" w:w="3061"/>
            <w:shd w:val="clear" w:color="auto" w:fill="F2F4F5"/>
            <w:vAlign w:val="center"/>
          </w:tcPr>
          <w:p>
            <w:pPr>
              <w:spacing w:after="0" w:line="240" w:lineRule="auto"/>
              <w:jc w:val="left"/>
            </w:pPr>
            <w:r>
              <w:rPr>
                <w:rFonts w:ascii="Helvetica" w:hAnsi="Helvetica"/>
                <w:b w:val="0"/>
                <w:color w:val="2B2B2B"/>
                <w:sz w:val="21"/>
              </w:rPr>
              <w:t>Gross margin</w:t>
            </w:r>
          </w:p>
        </w:tc>
        <w:tc>
          <w:tcPr>
            <w:tcW w:type="dxa" w:w="2268"/>
            <w:shd w:val="clear" w:color="auto" w:fill="F2F4F5"/>
            <w:vAlign w:val="center"/>
          </w:tcPr>
          <w:p>
            <w:pPr>
              <w:spacing w:after="0" w:line="240" w:lineRule="auto"/>
              <w:jc w:val="right"/>
            </w:pPr>
            <w:r>
              <w:rPr>
                <w:rFonts w:ascii="Helvetica" w:hAnsi="Helvetica"/>
                <w:b w:val="0"/>
                <w:color w:val="2B2B2B"/>
                <w:sz w:val="21"/>
              </w:rPr>
              <w:t>30.0%</w:t>
            </w:r>
          </w:p>
        </w:tc>
        <w:tc>
          <w:tcPr>
            <w:tcW w:type="dxa" w:w="2268"/>
            <w:shd w:val="clear" w:color="auto" w:fill="F2F4F5"/>
            <w:vAlign w:val="center"/>
          </w:tcPr>
          <w:p>
            <w:pPr>
              <w:spacing w:after="0" w:line="240" w:lineRule="auto"/>
              <w:jc w:val="right"/>
            </w:pPr>
            <w:r>
              <w:rPr>
                <w:rFonts w:ascii="Helvetica" w:hAnsi="Helvetica"/>
                <w:b w:val="0"/>
                <w:color w:val="2B2B2B"/>
                <w:sz w:val="21"/>
              </w:rPr>
              <w:t>30.4%</w:t>
            </w:r>
          </w:p>
        </w:tc>
        <w:tc>
          <w:tcPr>
            <w:tcW w:type="dxa" w:w="2041"/>
            <w:shd w:val="clear" w:color="auto" w:fill="F2F4F5"/>
            <w:vAlign w:val="center"/>
          </w:tcPr>
          <w:p>
            <w:pPr>
              <w:spacing w:after="0" w:line="240" w:lineRule="auto"/>
              <w:jc w:val="right"/>
            </w:pPr>
            <w:r>
              <w:rPr>
                <w:rFonts w:ascii="Helvetica" w:hAnsi="Helvetica"/>
                <w:b w:val="0"/>
                <w:color w:val="2B2B2B"/>
                <w:sz w:val="21"/>
              </w:rPr>
              <w:t>−0.4 pts</w:t>
            </w:r>
          </w:p>
        </w:tc>
      </w:tr>
      <w:tr>
        <w:tc>
          <w:tcPr>
            <w:tcW w:type="dxa" w:w="3061"/>
            <w:vAlign w:val="center"/>
          </w:tcPr>
          <w:p>
            <w:pPr>
              <w:spacing w:after="0" w:line="240" w:lineRule="auto"/>
              <w:jc w:val="left"/>
            </w:pPr>
            <w:r>
              <w:rPr>
                <w:rFonts w:ascii="Helvetica" w:hAnsi="Helvetica"/>
                <w:b w:val="0"/>
                <w:color w:val="2B2B2B"/>
                <w:sz w:val="21"/>
              </w:rPr>
              <w:t>Orders</w:t>
            </w:r>
          </w:p>
        </w:tc>
        <w:tc>
          <w:tcPr>
            <w:tcW w:type="dxa" w:w="2268"/>
            <w:vAlign w:val="center"/>
          </w:tcPr>
          <w:p>
            <w:pPr>
              <w:spacing w:after="0" w:line="240" w:lineRule="auto"/>
              <w:jc w:val="right"/>
            </w:pPr>
            <w:r>
              <w:rPr>
                <w:rFonts w:ascii="Helvetica" w:hAnsi="Helvetica"/>
                <w:b w:val="0"/>
                <w:color w:val="2B2B2B"/>
                <w:sz w:val="21"/>
              </w:rPr>
              <w:t>6,358</w:t>
            </w:r>
          </w:p>
        </w:tc>
        <w:tc>
          <w:tcPr>
            <w:tcW w:type="dxa" w:w="2268"/>
            <w:vAlign w:val="center"/>
          </w:tcPr>
          <w:p>
            <w:pPr>
              <w:spacing w:after="0" w:line="240" w:lineRule="auto"/>
              <w:jc w:val="right"/>
            </w:pPr>
            <w:r>
              <w:rPr>
                <w:rFonts w:ascii="Helvetica" w:hAnsi="Helvetica"/>
                <w:b w:val="0"/>
                <w:color w:val="2B2B2B"/>
                <w:sz w:val="21"/>
              </w:rPr>
              <w:t>6,071</w:t>
            </w:r>
          </w:p>
        </w:tc>
        <w:tc>
          <w:tcPr>
            <w:tcW w:type="dxa" w:w="2041"/>
            <w:vAlign w:val="center"/>
          </w:tcPr>
          <w:p>
            <w:pPr>
              <w:spacing w:after="0" w:line="240" w:lineRule="auto"/>
              <w:jc w:val="right"/>
            </w:pPr>
            <w:r>
              <w:rPr>
                <w:rFonts w:ascii="Helvetica" w:hAnsi="Helvetica"/>
                <w:b w:val="0"/>
                <w:color w:val="2B2B2B"/>
                <w:sz w:val="21"/>
              </w:rPr>
              <w:t>+4.7%</w:t>
            </w:r>
          </w:p>
        </w:tc>
      </w:tr>
    </w:tbl>
    <w:p>
      <w:pPr>
        <w:spacing w:after="80"/>
      </w:pPr>
    </w:p>
    <w:p>
      <w:pPr>
        <w:pStyle w:val="Heading2"/>
      </w:pPr>
      <w:r>
        <w:t>Monthly pattern</w:t>
      </w:r>
    </w:p>
    <w:p>
      <w:pPr>
        <w:spacing w:before="80" w:after="40"/>
        <w:jc w:val="center"/>
      </w:pPr>
      <w:r>
        <w:drawing>
          <wp:inline xmlns:a="http://schemas.openxmlformats.org/drawingml/2006/main" xmlns:pic="http://schemas.openxmlformats.org/drawingml/2006/picture">
            <wp:extent cx="5616000" cy="2527200"/>
            <wp:docPr id="1" name="Picture 1"/>
            <wp:cNvGraphicFramePr>
              <a:graphicFrameLocks noChangeAspect="1"/>
            </wp:cNvGraphicFramePr>
            <a:graphic>
              <a:graphicData uri="http://schemas.openxmlformats.org/drawingml/2006/picture">
                <pic:pic>
                  <pic:nvPicPr>
                    <pic:cNvPr id="0" name="chart_monthly.png"/>
                    <pic:cNvPicPr/>
                  </pic:nvPicPr>
                  <pic:blipFill>
                    <a:blip r:embed="rId13"/>
                    <a:stretch>
                      <a:fillRect/>
                    </a:stretch>
                  </pic:blipFill>
                  <pic:spPr>
                    <a:xfrm>
                      <a:off x="0" y="0"/>
                      <a:ext cx="5616000" cy="2527200"/>
                    </a:xfrm>
                    <a:prstGeom prst="rect"/>
                  </pic:spPr>
                </pic:pic>
              </a:graphicData>
            </a:graphic>
          </wp:inline>
        </w:drawing>
      </w:r>
    </w:p>
    <w:p>
      <w:pPr>
        <w:spacing w:after="160"/>
        <w:jc w:val="center"/>
      </w:pPr>
      <w:r>
        <w:rPr>
          <w:color w:val="2B2B2B"/>
          <w:sz w:val="20"/>
        </w:rPr>
        <w:t>Figure 1  —  Monthly revenue, FY2025 (US$ millions; computed from fact-sheet monthly detail).</w:t>
      </w:r>
    </w:p>
    <w:p>
      <w:pPr>
        <w:spacing w:before="80" w:after="40"/>
        <w:jc w:val="center"/>
      </w:pPr>
      <w:r>
        <w:drawing>
          <wp:inline xmlns:a="http://schemas.openxmlformats.org/drawingml/2006/main" xmlns:pic="http://schemas.openxmlformats.org/drawingml/2006/picture">
            <wp:extent cx="5616000" cy="2527200"/>
            <wp:docPr id="2" name="Picture 2"/>
            <wp:cNvGraphicFramePr>
              <a:graphicFrameLocks noChangeAspect="1"/>
            </wp:cNvGraphicFramePr>
            <a:graphic>
              <a:graphicData uri="http://schemas.openxmlformats.org/drawingml/2006/picture">
                <pic:pic>
                  <pic:nvPicPr>
                    <pic:cNvPr id="0" name="chart_grossprofit.png"/>
                    <pic:cNvPicPr/>
                  </pic:nvPicPr>
                  <pic:blipFill>
                    <a:blip r:embed="rId14"/>
                    <a:stretch>
                      <a:fillRect/>
                    </a:stretch>
                  </pic:blipFill>
                  <pic:spPr>
                    <a:xfrm>
                      <a:off x="0" y="0"/>
                      <a:ext cx="5616000" cy="2527200"/>
                    </a:xfrm>
                    <a:prstGeom prst="rect"/>
                  </pic:spPr>
                </pic:pic>
              </a:graphicData>
            </a:graphic>
          </wp:inline>
        </w:drawing>
      </w:r>
    </w:p>
    <w:p>
      <w:pPr>
        <w:spacing w:after="160"/>
        <w:jc w:val="center"/>
      </w:pPr>
      <w:r>
        <w:rPr>
          <w:color w:val="2B2B2B"/>
          <w:sz w:val="20"/>
        </w:rPr>
        <w:t>Figure 2  —  Monthly gross profit, FY2025 (US$ millions; computed from fact-sheet monthly detail).</w:t>
      </w:r>
    </w:p>
    <w:p>
      <w:pPr>
        <w:spacing w:after="160" w:before="0"/>
        <w:jc w:val="both"/>
      </w:pPr>
      <w:r>
        <w:rPr>
          <w:color w:val="2B2B2B"/>
          <w:sz w:val="21"/>
        </w:rPr>
        <w:t>The year had a clear seasonality profile. Computed from the monthly detail, the fourth quarter was the strongest at $22.7 million (32.8% of full-year revenue, computed), with October and December the two peak months at roughly $8.0 million each. August was the softest month at $3.7 million. Monthly gross margin moved between approximately 28% and 32% across the twelve months (computed), settling at 30.0% for the full year.</w:t>
      </w:r>
    </w:p>
    <w:p>
      <w:pPr>
        <w:pStyle w:val="Heading2"/>
      </w:pPr>
      <w:r>
        <w:t>Order economics</w:t>
      </w:r>
    </w:p>
    <w:p>
      <w:pPr>
        <w:spacing w:after="160" w:before="0"/>
        <w:jc w:val="both"/>
      </w:pPr>
      <w:r>
        <w:rPr>
          <w:color w:val="2B2B2B"/>
          <w:sz w:val="21"/>
        </w:rPr>
        <w:t>Order count rose 4.7% to 6,358, while revenue rose 7.9%. The resulting average revenue per order — computed from revenue divided by order count — increased from roughly $10,559 in FY2024 to roughly $10,875 in FY2025, a rise of about 3% (computed). Larger baskets per order supported revenue growth outpacing volume growth, and they will be a focus in FY2026 alongside volume.</w:t>
      </w:r>
    </w:p>
    <w:p>
      <w:r>
        <w:br w:type="page"/>
      </w:r>
      <w:pPr>
        <w:pStyle w:val="Heading1"/>
        <w:pBdr>
          <w:bottom w:val="single" w:sz="8" w:space="4" w:color="C9A227"/>
        </w:pBdr>
      </w:pPr>
      <w:r>
        <w:t>3.  Category performance</w:t>
      </w:r>
    </w:p>
    <w:p>
      <w:pPr>
        <w:spacing w:after="160" w:before="0"/>
        <w:jc w:val="both"/>
      </w:pPr>
      <w:r>
        <w:rPr>
          <w:b w:val="0"/>
          <w:i w:val="0"/>
          <w:color w:val="2B2B2B"/>
          <w:sz w:val="21"/>
        </w:rPr>
        <w:t xml:space="preserve">The largest category was </w:t>
      </w:r>
      <w:r>
        <w:rPr>
          <w:b/>
          <w:i w:val="0"/>
          <w:color w:val="2B2B2B"/>
          <w:sz w:val="21"/>
        </w:rPr>
        <w:t>Material Handling, which generated $38,734,228.05, or 56.0% of FY2025 revenue</w:t>
      </w:r>
      <w:r>
        <w:rPr>
          <w:b w:val="0"/>
          <w:i w:val="0"/>
          <w:color w:val="2B2B2B"/>
          <w:sz w:val="21"/>
        </w:rPr>
        <w:t>. Electrical was the second-largest category at $12,203,595.88, or 17.6% of revenue. Together the two largest categories represent 73.6% of the business (computed); the remaining eight categories contribute the other 26.4% (computed).</w:t>
      </w:r>
    </w:p>
    <w:p>
      <w:pPr>
        <w:spacing w:before="80" w:after="40"/>
        <w:jc w:val="center"/>
      </w:pPr>
      <w:r>
        <w:drawing>
          <wp:inline xmlns:a="http://schemas.openxmlformats.org/drawingml/2006/main" xmlns:pic="http://schemas.openxmlformats.org/drawingml/2006/picture">
            <wp:extent cx="5616000" cy="3229200"/>
            <wp:docPr id="3" name="Picture 3"/>
            <wp:cNvGraphicFramePr>
              <a:graphicFrameLocks noChangeAspect="1"/>
            </wp:cNvGraphicFramePr>
            <a:graphic>
              <a:graphicData uri="http://schemas.openxmlformats.org/drawingml/2006/picture">
                <pic:pic>
                  <pic:nvPicPr>
                    <pic:cNvPr id="0" name="chart_categories.png"/>
                    <pic:cNvPicPr/>
                  </pic:nvPicPr>
                  <pic:blipFill>
                    <a:blip r:embed="rId15"/>
                    <a:stretch>
                      <a:fillRect/>
                    </a:stretch>
                  </pic:blipFill>
                  <pic:spPr>
                    <a:xfrm>
                      <a:off x="0" y="0"/>
                      <a:ext cx="5616000" cy="3229200"/>
                    </a:xfrm>
                    <a:prstGeom prst="rect"/>
                  </pic:spPr>
                </pic:pic>
              </a:graphicData>
            </a:graphic>
          </wp:inline>
        </w:drawing>
      </w:r>
    </w:p>
    <w:p>
      <w:pPr>
        <w:spacing w:after="160"/>
        <w:jc w:val="center"/>
      </w:pPr>
      <w:r>
        <w:rPr>
          <w:color w:val="2B2B2B"/>
          <w:sz w:val="20"/>
        </w:rPr>
        <w:t>Figure 3  —  Category mix, FY2025, share of revenue.</w:t>
      </w:r>
    </w:p>
    <w:tbl>
      <w:tblPr>
        <w:tblW w:type="dxa" w:w="9638"/>
        <w:tblLayout w:type="fixed"/>
        <w:tblLook w:firstColumn="1" w:firstRow="1" w:lastColumn="0" w:lastRow="0" w:noHBand="0" w:noVBand="1" w:val="04A0"/>
        <w:tblBorders>
          <w:top w:val="single" w:sz="4" w:space="0" w:color="F2F4F5"/>
          <w:left w:val="single" w:sz="4" w:space="0" w:color="F2F4F5"/>
          <w:bottom w:val="single" w:sz="4" w:space="0" w:color="F2F4F5"/>
          <w:right w:val="single" w:sz="4" w:space="0" w:color="F2F4F5"/>
          <w:insideH w:val="single" w:sz="4" w:space="0" w:color="F2F4F5"/>
          <w:insideV w:val="single" w:sz="4" w:space="0" w:color="F2F4F5"/>
        </w:tblBorders>
        <w:tblCellMar>
          <w:left w:w="110" w:type="dxa"/>
          <w:right w:w="110" w:type="dxa"/>
          <w:top w:w="40" w:type="dxa"/>
          <w:bottom w:w="40" w:type="dxa"/>
        </w:tblCellMar>
      </w:tblPr>
      <w:tblGrid>
        <w:gridCol w:w="3628"/>
        <w:gridCol w:w="3061"/>
        <w:gridCol w:w="2948"/>
      </w:tblGrid>
      <w:tr>
        <w:tc>
          <w:tcPr>
            <w:tcW w:type="dxa" w:w="3628"/>
            <w:vAlign w:val="center"/>
            <w:shd w:val="clear" w:color="auto" w:fill="0B3C5D"/>
          </w:tcPr>
          <w:p>
            <w:pPr>
              <w:spacing w:after="0" w:line="240" w:lineRule="auto"/>
              <w:jc w:val="left"/>
            </w:pPr>
            <w:r>
              <w:rPr>
                <w:rFonts w:ascii="Helvetica" w:hAnsi="Helvetica"/>
                <w:b/>
                <w:color w:val="FFFFFF"/>
                <w:sz w:val="21"/>
              </w:rPr>
              <w:t>Category</w:t>
            </w:r>
          </w:p>
        </w:tc>
        <w:tc>
          <w:tcPr>
            <w:tcW w:type="dxa" w:w="3061"/>
            <w:vAlign w:val="center"/>
            <w:shd w:val="clear" w:color="auto" w:fill="0B3C5D"/>
          </w:tcPr>
          <w:p>
            <w:pPr>
              <w:spacing w:after="0" w:line="240" w:lineRule="auto"/>
              <w:jc w:val="right"/>
            </w:pPr>
            <w:r>
              <w:rPr>
                <w:rFonts w:ascii="Helvetica" w:hAnsi="Helvetica"/>
                <w:b/>
                <w:color w:val="FFFFFF"/>
                <w:sz w:val="21"/>
              </w:rPr>
              <w:t>FY2025 revenue</w:t>
            </w:r>
          </w:p>
        </w:tc>
        <w:tc>
          <w:tcPr>
            <w:tcW w:type="dxa" w:w="2948"/>
            <w:vAlign w:val="center"/>
            <w:shd w:val="clear" w:color="auto" w:fill="0B3C5D"/>
          </w:tcPr>
          <w:p>
            <w:pPr>
              <w:spacing w:after="0" w:line="240" w:lineRule="auto"/>
              <w:jc w:val="right"/>
            </w:pPr>
            <w:r>
              <w:rPr>
                <w:rFonts w:ascii="Helvetica" w:hAnsi="Helvetica"/>
                <w:b/>
                <w:color w:val="FFFFFF"/>
                <w:sz w:val="21"/>
              </w:rPr>
              <w:t>Share of revenue</w:t>
            </w:r>
          </w:p>
        </w:tc>
      </w:tr>
      <w:tr>
        <w:tc>
          <w:tcPr>
            <w:tcW w:type="dxa" w:w="3628"/>
            <w:vAlign w:val="center"/>
          </w:tcPr>
          <w:p>
            <w:pPr>
              <w:spacing w:after="0" w:line="240" w:lineRule="auto"/>
              <w:jc w:val="left"/>
            </w:pPr>
            <w:r>
              <w:rPr>
                <w:rFonts w:ascii="Helvetica" w:hAnsi="Helvetica"/>
                <w:b w:val="0"/>
                <w:color w:val="2B2B2B"/>
                <w:sz w:val="21"/>
              </w:rPr>
              <w:t>Material Handling</w:t>
            </w:r>
          </w:p>
        </w:tc>
        <w:tc>
          <w:tcPr>
            <w:tcW w:type="dxa" w:w="3061"/>
            <w:vAlign w:val="center"/>
          </w:tcPr>
          <w:p>
            <w:pPr>
              <w:spacing w:after="0" w:line="240" w:lineRule="auto"/>
              <w:jc w:val="right"/>
            </w:pPr>
            <w:r>
              <w:rPr>
                <w:rFonts w:ascii="Helvetica" w:hAnsi="Helvetica"/>
                <w:b w:val="0"/>
                <w:color w:val="2B2B2B"/>
                <w:sz w:val="21"/>
              </w:rPr>
              <w:t>$3873.42M</w:t>
            </w:r>
          </w:p>
        </w:tc>
        <w:tc>
          <w:tcPr>
            <w:tcW w:type="dxa" w:w="2948"/>
            <w:vAlign w:val="center"/>
          </w:tcPr>
          <w:p>
            <w:pPr>
              <w:spacing w:after="0" w:line="240" w:lineRule="auto"/>
              <w:jc w:val="right"/>
            </w:pPr>
            <w:r>
              <w:rPr>
                <w:rFonts w:ascii="Helvetica" w:hAnsi="Helvetica"/>
                <w:b w:val="0"/>
                <w:color w:val="2B2B2B"/>
                <w:sz w:val="21"/>
              </w:rPr>
              <w:t>56.0%</w:t>
            </w:r>
          </w:p>
        </w:tc>
      </w:tr>
      <w:tr>
        <w:tc>
          <w:tcPr>
            <w:tcW w:type="dxa" w:w="3628"/>
            <w:shd w:val="clear" w:color="auto" w:fill="F2F4F5"/>
            <w:vAlign w:val="center"/>
          </w:tcPr>
          <w:p>
            <w:pPr>
              <w:spacing w:after="0" w:line="240" w:lineRule="auto"/>
              <w:jc w:val="left"/>
            </w:pPr>
            <w:r>
              <w:rPr>
                <w:rFonts w:ascii="Helvetica" w:hAnsi="Helvetica"/>
                <w:b w:val="0"/>
                <w:color w:val="2B2B2B"/>
                <w:sz w:val="21"/>
              </w:rPr>
              <w:t>Electrical</w:t>
            </w:r>
          </w:p>
        </w:tc>
        <w:tc>
          <w:tcPr>
            <w:tcW w:type="dxa" w:w="3061"/>
            <w:shd w:val="clear" w:color="auto" w:fill="F2F4F5"/>
            <w:vAlign w:val="center"/>
          </w:tcPr>
          <w:p>
            <w:pPr>
              <w:spacing w:after="0" w:line="240" w:lineRule="auto"/>
              <w:jc w:val="right"/>
            </w:pPr>
            <w:r>
              <w:rPr>
                <w:rFonts w:ascii="Helvetica" w:hAnsi="Helvetica"/>
                <w:b w:val="0"/>
                <w:color w:val="2B2B2B"/>
                <w:sz w:val="21"/>
              </w:rPr>
              <w:t>$1220.36M</w:t>
            </w:r>
          </w:p>
        </w:tc>
        <w:tc>
          <w:tcPr>
            <w:tcW w:type="dxa" w:w="2948"/>
            <w:shd w:val="clear" w:color="auto" w:fill="F2F4F5"/>
            <w:vAlign w:val="center"/>
          </w:tcPr>
          <w:p>
            <w:pPr>
              <w:spacing w:after="0" w:line="240" w:lineRule="auto"/>
              <w:jc w:val="right"/>
            </w:pPr>
            <w:r>
              <w:rPr>
                <w:rFonts w:ascii="Helvetica" w:hAnsi="Helvetica"/>
                <w:b w:val="0"/>
                <w:color w:val="2B2B2B"/>
                <w:sz w:val="21"/>
              </w:rPr>
              <w:t>17.6%</w:t>
            </w:r>
          </w:p>
        </w:tc>
      </w:tr>
      <w:tr>
        <w:tc>
          <w:tcPr>
            <w:tcW w:type="dxa" w:w="3628"/>
            <w:vAlign w:val="center"/>
          </w:tcPr>
          <w:p>
            <w:pPr>
              <w:spacing w:after="0" w:line="240" w:lineRule="auto"/>
              <w:jc w:val="left"/>
            </w:pPr>
            <w:r>
              <w:rPr>
                <w:rFonts w:ascii="Helvetica" w:hAnsi="Helvetica"/>
                <w:b w:val="0"/>
                <w:color w:val="2B2B2B"/>
                <w:sz w:val="21"/>
              </w:rPr>
              <w:t>Packaging</w:t>
            </w:r>
          </w:p>
        </w:tc>
        <w:tc>
          <w:tcPr>
            <w:tcW w:type="dxa" w:w="3061"/>
            <w:vAlign w:val="center"/>
          </w:tcPr>
          <w:p>
            <w:pPr>
              <w:spacing w:after="0" w:line="240" w:lineRule="auto"/>
              <w:jc w:val="right"/>
            </w:pPr>
            <w:r>
              <w:rPr>
                <w:rFonts w:ascii="Helvetica" w:hAnsi="Helvetica"/>
                <w:b w:val="0"/>
                <w:color w:val="2B2B2B"/>
                <w:sz w:val="21"/>
              </w:rPr>
              <w:t>$442.59M</w:t>
            </w:r>
          </w:p>
        </w:tc>
        <w:tc>
          <w:tcPr>
            <w:tcW w:type="dxa" w:w="2948"/>
            <w:vAlign w:val="center"/>
          </w:tcPr>
          <w:p>
            <w:pPr>
              <w:spacing w:after="0" w:line="240" w:lineRule="auto"/>
              <w:jc w:val="right"/>
            </w:pPr>
            <w:r>
              <w:rPr>
                <w:rFonts w:ascii="Helvetica" w:hAnsi="Helvetica"/>
                <w:b w:val="0"/>
                <w:color w:val="2B2B2B"/>
                <w:sz w:val="21"/>
              </w:rPr>
              <w:t>6.4%</w:t>
            </w:r>
          </w:p>
        </w:tc>
      </w:tr>
      <w:tr>
        <w:tc>
          <w:tcPr>
            <w:tcW w:type="dxa" w:w="3628"/>
            <w:shd w:val="clear" w:color="auto" w:fill="F2F4F5"/>
            <w:vAlign w:val="center"/>
          </w:tcPr>
          <w:p>
            <w:pPr>
              <w:spacing w:after="0" w:line="240" w:lineRule="auto"/>
              <w:jc w:val="left"/>
            </w:pPr>
            <w:r>
              <w:rPr>
                <w:rFonts w:ascii="Helvetica" w:hAnsi="Helvetica"/>
                <w:b w:val="0"/>
                <w:color w:val="2B2B2B"/>
                <w:sz w:val="21"/>
              </w:rPr>
              <w:t>Tools</w:t>
            </w:r>
          </w:p>
        </w:tc>
        <w:tc>
          <w:tcPr>
            <w:tcW w:type="dxa" w:w="3061"/>
            <w:shd w:val="clear" w:color="auto" w:fill="F2F4F5"/>
            <w:vAlign w:val="center"/>
          </w:tcPr>
          <w:p>
            <w:pPr>
              <w:spacing w:after="0" w:line="240" w:lineRule="auto"/>
              <w:jc w:val="right"/>
            </w:pPr>
            <w:r>
              <w:rPr>
                <w:rFonts w:ascii="Helvetica" w:hAnsi="Helvetica"/>
                <w:b w:val="0"/>
                <w:color w:val="2B2B2B"/>
                <w:sz w:val="21"/>
              </w:rPr>
              <w:t>$375.55M</w:t>
            </w:r>
          </w:p>
        </w:tc>
        <w:tc>
          <w:tcPr>
            <w:tcW w:type="dxa" w:w="2948"/>
            <w:shd w:val="clear" w:color="auto" w:fill="F2F4F5"/>
            <w:vAlign w:val="center"/>
          </w:tcPr>
          <w:p>
            <w:pPr>
              <w:spacing w:after="0" w:line="240" w:lineRule="auto"/>
              <w:jc w:val="right"/>
            </w:pPr>
            <w:r>
              <w:rPr>
                <w:rFonts w:ascii="Helvetica" w:hAnsi="Helvetica"/>
                <w:b w:val="0"/>
                <w:color w:val="2B2B2B"/>
                <w:sz w:val="21"/>
              </w:rPr>
              <w:t>5.4%</w:t>
            </w:r>
          </w:p>
        </w:tc>
      </w:tr>
      <w:tr>
        <w:tc>
          <w:tcPr>
            <w:tcW w:type="dxa" w:w="3628"/>
            <w:vAlign w:val="center"/>
          </w:tcPr>
          <w:p>
            <w:pPr>
              <w:spacing w:after="0" w:line="240" w:lineRule="auto"/>
              <w:jc w:val="left"/>
            </w:pPr>
            <w:r>
              <w:rPr>
                <w:rFonts w:ascii="Helvetica" w:hAnsi="Helvetica"/>
                <w:b w:val="0"/>
                <w:color w:val="2B2B2B"/>
                <w:sz w:val="21"/>
              </w:rPr>
              <w:t>Safety &amp; PPE</w:t>
            </w:r>
          </w:p>
        </w:tc>
        <w:tc>
          <w:tcPr>
            <w:tcW w:type="dxa" w:w="3061"/>
            <w:vAlign w:val="center"/>
          </w:tcPr>
          <w:p>
            <w:pPr>
              <w:spacing w:after="0" w:line="240" w:lineRule="auto"/>
              <w:jc w:val="right"/>
            </w:pPr>
            <w:r>
              <w:rPr>
                <w:rFonts w:ascii="Helvetica" w:hAnsi="Helvetica"/>
                <w:b w:val="0"/>
                <w:color w:val="2B2B2B"/>
                <w:sz w:val="21"/>
              </w:rPr>
              <w:t>$291.41M</w:t>
            </w:r>
          </w:p>
        </w:tc>
        <w:tc>
          <w:tcPr>
            <w:tcW w:type="dxa" w:w="2948"/>
            <w:vAlign w:val="center"/>
          </w:tcPr>
          <w:p>
            <w:pPr>
              <w:spacing w:after="0" w:line="240" w:lineRule="auto"/>
              <w:jc w:val="right"/>
            </w:pPr>
            <w:r>
              <w:rPr>
                <w:rFonts w:ascii="Helvetica" w:hAnsi="Helvetica"/>
                <w:b w:val="0"/>
                <w:color w:val="2B2B2B"/>
                <w:sz w:val="21"/>
              </w:rPr>
              <w:t>4.2%</w:t>
            </w:r>
          </w:p>
        </w:tc>
      </w:tr>
      <w:tr>
        <w:tc>
          <w:tcPr>
            <w:tcW w:type="dxa" w:w="3628"/>
            <w:shd w:val="clear" w:color="auto" w:fill="F2F4F5"/>
            <w:vAlign w:val="center"/>
          </w:tcPr>
          <w:p>
            <w:pPr>
              <w:spacing w:after="0" w:line="240" w:lineRule="auto"/>
              <w:jc w:val="left"/>
            </w:pPr>
            <w:r>
              <w:rPr>
                <w:rFonts w:ascii="Helvetica" w:hAnsi="Helvetica"/>
                <w:b w:val="0"/>
                <w:color w:val="2B2B2B"/>
                <w:sz w:val="21"/>
              </w:rPr>
              <w:t>Janitorial</w:t>
            </w:r>
          </w:p>
        </w:tc>
        <w:tc>
          <w:tcPr>
            <w:tcW w:type="dxa" w:w="3061"/>
            <w:shd w:val="clear" w:color="auto" w:fill="F2F4F5"/>
            <w:vAlign w:val="center"/>
          </w:tcPr>
          <w:p>
            <w:pPr>
              <w:spacing w:after="0" w:line="240" w:lineRule="auto"/>
              <w:jc w:val="right"/>
            </w:pPr>
            <w:r>
              <w:rPr>
                <w:rFonts w:ascii="Helvetica" w:hAnsi="Helvetica"/>
                <w:b w:val="0"/>
                <w:color w:val="2B2B2B"/>
                <w:sz w:val="21"/>
              </w:rPr>
              <w:t>$254.17M</w:t>
            </w:r>
          </w:p>
        </w:tc>
        <w:tc>
          <w:tcPr>
            <w:tcW w:type="dxa" w:w="2948"/>
            <w:shd w:val="clear" w:color="auto" w:fill="F2F4F5"/>
            <w:vAlign w:val="center"/>
          </w:tcPr>
          <w:p>
            <w:pPr>
              <w:spacing w:after="0" w:line="240" w:lineRule="auto"/>
              <w:jc w:val="right"/>
            </w:pPr>
            <w:r>
              <w:rPr>
                <w:rFonts w:ascii="Helvetica" w:hAnsi="Helvetica"/>
                <w:b w:val="0"/>
                <w:color w:val="2B2B2B"/>
                <w:sz w:val="21"/>
              </w:rPr>
              <w:t>3.7%</w:t>
            </w:r>
          </w:p>
        </w:tc>
      </w:tr>
      <w:tr>
        <w:tc>
          <w:tcPr>
            <w:tcW w:type="dxa" w:w="3628"/>
            <w:vAlign w:val="center"/>
          </w:tcPr>
          <w:p>
            <w:pPr>
              <w:spacing w:after="0" w:line="240" w:lineRule="auto"/>
              <w:jc w:val="left"/>
            </w:pPr>
            <w:r>
              <w:rPr>
                <w:rFonts w:ascii="Helvetica" w:hAnsi="Helvetica"/>
                <w:b w:val="0"/>
                <w:color w:val="2B2B2B"/>
                <w:sz w:val="21"/>
              </w:rPr>
              <w:t>Office Supplies</w:t>
            </w:r>
          </w:p>
        </w:tc>
        <w:tc>
          <w:tcPr>
            <w:tcW w:type="dxa" w:w="3061"/>
            <w:vAlign w:val="center"/>
          </w:tcPr>
          <w:p>
            <w:pPr>
              <w:spacing w:after="0" w:line="240" w:lineRule="auto"/>
              <w:jc w:val="right"/>
            </w:pPr>
            <w:r>
              <w:rPr>
                <w:rFonts w:ascii="Helvetica" w:hAnsi="Helvetica"/>
                <w:b w:val="0"/>
                <w:color w:val="2B2B2B"/>
                <w:sz w:val="21"/>
              </w:rPr>
              <w:t>$151.30M</w:t>
            </w:r>
          </w:p>
        </w:tc>
        <w:tc>
          <w:tcPr>
            <w:tcW w:type="dxa" w:w="2948"/>
            <w:vAlign w:val="center"/>
          </w:tcPr>
          <w:p>
            <w:pPr>
              <w:spacing w:after="0" w:line="240" w:lineRule="auto"/>
              <w:jc w:val="right"/>
            </w:pPr>
            <w:r>
              <w:rPr>
                <w:rFonts w:ascii="Helvetica" w:hAnsi="Helvetica"/>
                <w:b w:val="0"/>
                <w:color w:val="2B2B2B"/>
                <w:sz w:val="21"/>
              </w:rPr>
              <w:t>2.2%</w:t>
            </w:r>
          </w:p>
        </w:tc>
      </w:tr>
      <w:tr>
        <w:tc>
          <w:tcPr>
            <w:tcW w:type="dxa" w:w="3628"/>
            <w:shd w:val="clear" w:color="auto" w:fill="F2F4F5"/>
            <w:vAlign w:val="center"/>
          </w:tcPr>
          <w:p>
            <w:pPr>
              <w:spacing w:after="0" w:line="240" w:lineRule="auto"/>
              <w:jc w:val="left"/>
            </w:pPr>
            <w:r>
              <w:rPr>
                <w:rFonts w:ascii="Helvetica" w:hAnsi="Helvetica"/>
                <w:b w:val="0"/>
                <w:color w:val="2B2B2B"/>
                <w:sz w:val="21"/>
              </w:rPr>
              <w:t>Abrasives</w:t>
            </w:r>
          </w:p>
        </w:tc>
        <w:tc>
          <w:tcPr>
            <w:tcW w:type="dxa" w:w="3061"/>
            <w:shd w:val="clear" w:color="auto" w:fill="F2F4F5"/>
            <w:vAlign w:val="center"/>
          </w:tcPr>
          <w:p>
            <w:pPr>
              <w:spacing w:after="0" w:line="240" w:lineRule="auto"/>
              <w:jc w:val="right"/>
            </w:pPr>
            <w:r>
              <w:rPr>
                <w:rFonts w:ascii="Helvetica" w:hAnsi="Helvetica"/>
                <w:b w:val="0"/>
                <w:color w:val="2B2B2B"/>
                <w:sz w:val="21"/>
              </w:rPr>
              <w:t>$131.00M</w:t>
            </w:r>
          </w:p>
        </w:tc>
        <w:tc>
          <w:tcPr>
            <w:tcW w:type="dxa" w:w="2948"/>
            <w:shd w:val="clear" w:color="auto" w:fill="F2F4F5"/>
            <w:vAlign w:val="center"/>
          </w:tcPr>
          <w:p>
            <w:pPr>
              <w:spacing w:after="0" w:line="240" w:lineRule="auto"/>
              <w:jc w:val="right"/>
            </w:pPr>
            <w:r>
              <w:rPr>
                <w:rFonts w:ascii="Helvetica" w:hAnsi="Helvetica"/>
                <w:b w:val="0"/>
                <w:color w:val="2B2B2B"/>
                <w:sz w:val="21"/>
              </w:rPr>
              <w:t>1.9%</w:t>
            </w:r>
          </w:p>
        </w:tc>
      </w:tr>
      <w:tr>
        <w:tc>
          <w:tcPr>
            <w:tcW w:type="dxa" w:w="3628"/>
            <w:vAlign w:val="center"/>
          </w:tcPr>
          <w:p>
            <w:pPr>
              <w:spacing w:after="0" w:line="240" w:lineRule="auto"/>
              <w:jc w:val="left"/>
            </w:pPr>
            <w:r>
              <w:rPr>
                <w:rFonts w:ascii="Helvetica" w:hAnsi="Helvetica"/>
                <w:b w:val="0"/>
                <w:color w:val="2B2B2B"/>
                <w:sz w:val="21"/>
              </w:rPr>
              <w:t>Fasteners</w:t>
            </w:r>
          </w:p>
        </w:tc>
        <w:tc>
          <w:tcPr>
            <w:tcW w:type="dxa" w:w="3061"/>
            <w:vAlign w:val="center"/>
          </w:tcPr>
          <w:p>
            <w:pPr>
              <w:spacing w:after="0" w:line="240" w:lineRule="auto"/>
              <w:jc w:val="right"/>
            </w:pPr>
            <w:r>
              <w:rPr>
                <w:rFonts w:ascii="Helvetica" w:hAnsi="Helvetica"/>
                <w:b w:val="0"/>
                <w:color w:val="2B2B2B"/>
                <w:sz w:val="21"/>
              </w:rPr>
              <w:t>$114.79M</w:t>
            </w:r>
          </w:p>
        </w:tc>
        <w:tc>
          <w:tcPr>
            <w:tcW w:type="dxa" w:w="2948"/>
            <w:vAlign w:val="center"/>
          </w:tcPr>
          <w:p>
            <w:pPr>
              <w:spacing w:after="0" w:line="240" w:lineRule="auto"/>
              <w:jc w:val="right"/>
            </w:pPr>
            <w:r>
              <w:rPr>
                <w:rFonts w:ascii="Helvetica" w:hAnsi="Helvetica"/>
                <w:b w:val="0"/>
                <w:color w:val="2B2B2B"/>
                <w:sz w:val="21"/>
              </w:rPr>
              <w:t>1.7%</w:t>
            </w:r>
          </w:p>
        </w:tc>
      </w:tr>
      <w:tr>
        <w:tc>
          <w:tcPr>
            <w:tcW w:type="dxa" w:w="3628"/>
            <w:shd w:val="clear" w:color="auto" w:fill="F2F4F5"/>
            <w:vAlign w:val="center"/>
          </w:tcPr>
          <w:p>
            <w:pPr>
              <w:spacing w:after="0" w:line="240" w:lineRule="auto"/>
              <w:jc w:val="left"/>
            </w:pPr>
            <w:r>
              <w:rPr>
                <w:rFonts w:ascii="Helvetica" w:hAnsi="Helvetica"/>
                <w:b w:val="0"/>
                <w:color w:val="2B2B2B"/>
                <w:sz w:val="21"/>
              </w:rPr>
              <w:t>Adhesives</w:t>
            </w:r>
          </w:p>
        </w:tc>
        <w:tc>
          <w:tcPr>
            <w:tcW w:type="dxa" w:w="3061"/>
            <w:shd w:val="clear" w:color="auto" w:fill="F2F4F5"/>
            <w:vAlign w:val="center"/>
          </w:tcPr>
          <w:p>
            <w:pPr>
              <w:spacing w:after="0" w:line="240" w:lineRule="auto"/>
              <w:jc w:val="right"/>
            </w:pPr>
            <w:r>
              <w:rPr>
                <w:rFonts w:ascii="Helvetica" w:hAnsi="Helvetica"/>
                <w:b w:val="0"/>
                <w:color w:val="2B2B2B"/>
                <w:sz w:val="21"/>
              </w:rPr>
              <w:t>$60.04M</w:t>
            </w:r>
          </w:p>
        </w:tc>
        <w:tc>
          <w:tcPr>
            <w:tcW w:type="dxa" w:w="2948"/>
            <w:shd w:val="clear" w:color="auto" w:fill="F2F4F5"/>
            <w:vAlign w:val="center"/>
          </w:tcPr>
          <w:p>
            <w:pPr>
              <w:spacing w:after="0" w:line="240" w:lineRule="auto"/>
              <w:jc w:val="right"/>
            </w:pPr>
            <w:r>
              <w:rPr>
                <w:rFonts w:ascii="Helvetica" w:hAnsi="Helvetica"/>
                <w:b w:val="0"/>
                <w:color w:val="2B2B2B"/>
                <w:sz w:val="21"/>
              </w:rPr>
              <w:t>0.9%</w:t>
            </w:r>
          </w:p>
        </w:tc>
      </w:tr>
      <w:tr>
        <w:tc>
          <w:tcPr>
            <w:tcW w:type="dxa" w:w="3628"/>
            <w:shd w:val="clear" w:color="auto" w:fill="F2F4F5"/>
            <w:vAlign w:val="center"/>
          </w:tcPr>
          <w:p>
            <w:pPr>
              <w:spacing w:after="0" w:line="240" w:lineRule="auto"/>
              <w:jc w:val="left"/>
            </w:pPr>
            <w:r>
              <w:rPr>
                <w:rFonts w:ascii="Helvetica" w:hAnsi="Helvetica"/>
                <w:b/>
                <w:color w:val="2B2B2B"/>
                <w:sz w:val="21"/>
              </w:rPr>
              <w:t>Total</w:t>
            </w:r>
          </w:p>
        </w:tc>
        <w:tc>
          <w:tcPr>
            <w:tcW w:type="dxa" w:w="3061"/>
            <w:shd w:val="clear" w:color="auto" w:fill="F2F4F5"/>
            <w:vAlign w:val="center"/>
          </w:tcPr>
          <w:p>
            <w:pPr>
              <w:spacing w:after="0" w:line="240" w:lineRule="auto"/>
              <w:jc w:val="right"/>
            </w:pPr>
            <w:r>
              <w:rPr>
                <w:rFonts w:ascii="Helvetica" w:hAnsi="Helvetica"/>
                <w:b/>
                <w:color w:val="2B2B2B"/>
                <w:sz w:val="21"/>
              </w:rPr>
              <w:t>$69.15M</w:t>
            </w:r>
          </w:p>
        </w:tc>
        <w:tc>
          <w:tcPr>
            <w:tcW w:type="dxa" w:w="2948"/>
            <w:shd w:val="clear" w:color="auto" w:fill="F2F4F5"/>
            <w:vAlign w:val="center"/>
          </w:tcPr>
          <w:p>
            <w:pPr>
              <w:spacing w:after="0" w:line="240" w:lineRule="auto"/>
              <w:jc w:val="right"/>
            </w:pPr>
            <w:r>
              <w:rPr>
                <w:rFonts w:ascii="Helvetica" w:hAnsi="Helvetica"/>
                <w:b/>
                <w:color w:val="2B2B2B"/>
                <w:sz w:val="21"/>
              </w:rPr>
              <w:t>100.0%</w:t>
            </w:r>
          </w:p>
        </w:tc>
      </w:tr>
    </w:tbl>
    <w:p>
      <w:pPr>
        <w:spacing w:after="40"/>
      </w:pPr>
    </w:p>
    <w:p>
      <w:pPr>
        <w:spacing w:after="160" w:before="0"/>
        <w:jc w:val="both"/>
      </w:pPr>
      <w:r>
        <w:rPr>
          <w:color w:val="2B2B2B"/>
          <w:sz w:val="21"/>
        </w:rPr>
        <w:t>Within the remainder of the portfolio, Packaging is the third-largest category at $4,425,870.55 (6.4%), followed by Tools at $3,755,547.27 (5.4%) and Safety &amp; PPE at $2,914,085.72 (4.2%). The five smallest categories — Janitorial (3.7%), Office Supplies (2.2%), Abrasives (1.9%), Fasteners (1.7%) and Adhesives (0.9%) — are all sub-5% lines that, in aggregate (computed), represent 10.4% of revenue and form the natural bench for diversification in FY2026.</w:t>
      </w:r>
    </w:p>
    <w:p>
      <w:r>
        <w:br w:type="page"/>
      </w:r>
      <w:pPr>
        <w:pStyle w:val="Heading1"/>
        <w:pBdr>
          <w:bottom w:val="single" w:sz="8" w:space="4" w:color="C9A227"/>
        </w:pBdr>
      </w:pPr>
      <w:r>
        <w:t>4.  Customer and geographic performance</w:t>
      </w:r>
    </w:p>
    <w:p>
      <w:pPr>
        <w:pStyle w:val="Heading2"/>
      </w:pPr>
      <w:r>
        <w:t>Customer base</w:t>
      </w:r>
    </w:p>
    <w:p>
      <w:pPr>
        <w:spacing w:after="160" w:before="0"/>
        <w:jc w:val="both"/>
      </w:pPr>
      <w:r>
        <w:rPr>
          <w:b w:val="0"/>
          <w:i w:val="0"/>
          <w:color w:val="2B2B2B"/>
          <w:sz w:val="21"/>
        </w:rPr>
        <w:t xml:space="preserve">The top 20 customers together account for </w:t>
      </w:r>
      <w:r>
        <w:rPr>
          <w:b/>
          <w:i w:val="0"/>
          <w:color w:val="2B2B2B"/>
          <w:sz w:val="21"/>
        </w:rPr>
        <w:t>13.65% of FY2025 revenue</w:t>
      </w:r>
      <w:r>
        <w:rPr>
          <w:b w:val="0"/>
          <w:i w:val="0"/>
          <w:color w:val="2B2B2B"/>
          <w:sz w:val="21"/>
        </w:rPr>
        <w:t>. The largest single customer, Foxglove Stores LLC, represents 1.34%; the top five customers represent 5.18% and the top ten represent 8.71% (both computed from the shares in the table below). No customer relationship exceeds 1.34% of revenue, which we regard as a diversified and balanced customer base for a distribution business of this scale.</w:t>
      </w:r>
    </w:p>
    <w:tbl>
      <w:tblPr>
        <w:tblW w:type="dxa" w:w="9638"/>
        <w:tblLayout w:type="fixed"/>
        <w:tblLook w:firstColumn="1" w:firstRow="1" w:lastColumn="0" w:lastRow="0" w:noHBand="0" w:noVBand="1" w:val="04A0"/>
        <w:tblBorders>
          <w:top w:val="single" w:sz="4" w:space="0" w:color="F2F4F5"/>
          <w:left w:val="single" w:sz="4" w:space="0" w:color="F2F4F5"/>
          <w:bottom w:val="single" w:sz="4" w:space="0" w:color="F2F4F5"/>
          <w:right w:val="single" w:sz="4" w:space="0" w:color="F2F4F5"/>
          <w:insideH w:val="single" w:sz="4" w:space="0" w:color="F2F4F5"/>
          <w:insideV w:val="single" w:sz="4" w:space="0" w:color="F2F4F5"/>
        </w:tblBorders>
        <w:tblCellMar>
          <w:left w:w="110" w:type="dxa"/>
          <w:right w:w="110" w:type="dxa"/>
          <w:top w:w="40" w:type="dxa"/>
          <w:bottom w:w="40" w:type="dxa"/>
        </w:tblCellMar>
      </w:tblPr>
      <w:tblGrid>
        <w:gridCol w:w="737"/>
        <w:gridCol w:w="4025"/>
        <w:gridCol w:w="2608"/>
        <w:gridCol w:w="2268"/>
      </w:tblGrid>
      <w:tr>
        <w:tc>
          <w:tcPr>
            <w:tcW w:type="dxa" w:w="737"/>
            <w:vAlign w:val="center"/>
            <w:shd w:val="clear" w:color="auto" w:fill="0B3C5D"/>
          </w:tcPr>
          <w:p>
            <w:pPr>
              <w:spacing w:after="0" w:line="240" w:lineRule="auto"/>
              <w:jc w:val="right"/>
            </w:pPr>
            <w:r>
              <w:rPr>
                <w:rFonts w:ascii="Helvetica" w:hAnsi="Helvetica"/>
                <w:b/>
                <w:color w:val="FFFFFF"/>
                <w:sz w:val="19"/>
              </w:rPr>
              <w:t>Rank</w:t>
            </w:r>
          </w:p>
        </w:tc>
        <w:tc>
          <w:tcPr>
            <w:tcW w:type="dxa" w:w="4025"/>
            <w:vAlign w:val="center"/>
            <w:shd w:val="clear" w:color="auto" w:fill="0B3C5D"/>
          </w:tcPr>
          <w:p>
            <w:pPr>
              <w:spacing w:after="0" w:line="240" w:lineRule="auto"/>
              <w:jc w:val="left"/>
            </w:pPr>
            <w:r>
              <w:rPr>
                <w:rFonts w:ascii="Helvetica" w:hAnsi="Helvetica"/>
                <w:b/>
                <w:color w:val="FFFFFF"/>
                <w:sz w:val="19"/>
              </w:rPr>
              <w:t>Customer</w:t>
            </w:r>
          </w:p>
        </w:tc>
        <w:tc>
          <w:tcPr>
            <w:tcW w:type="dxa" w:w="2608"/>
            <w:vAlign w:val="center"/>
            <w:shd w:val="clear" w:color="auto" w:fill="0B3C5D"/>
          </w:tcPr>
          <w:p>
            <w:pPr>
              <w:spacing w:after="0" w:line="240" w:lineRule="auto"/>
              <w:jc w:val="right"/>
            </w:pPr>
            <w:r>
              <w:rPr>
                <w:rFonts w:ascii="Helvetica" w:hAnsi="Helvetica"/>
                <w:b/>
                <w:color w:val="FFFFFF"/>
                <w:sz w:val="19"/>
              </w:rPr>
              <w:t>FY2025 revenue</w:t>
            </w:r>
          </w:p>
        </w:tc>
        <w:tc>
          <w:tcPr>
            <w:tcW w:type="dxa" w:w="2268"/>
            <w:vAlign w:val="center"/>
            <w:shd w:val="clear" w:color="auto" w:fill="0B3C5D"/>
          </w:tcPr>
          <w:p>
            <w:pPr>
              <w:spacing w:after="0" w:line="240" w:lineRule="auto"/>
              <w:jc w:val="right"/>
            </w:pPr>
            <w:r>
              <w:rPr>
                <w:rFonts w:ascii="Helvetica" w:hAnsi="Helvetica"/>
                <w:b/>
                <w:color w:val="FFFFFF"/>
                <w:sz w:val="19"/>
              </w:rPr>
              <w:t>Share of revenue</w:t>
            </w:r>
          </w:p>
        </w:tc>
      </w:tr>
      <w:tr>
        <w:tc>
          <w:tcPr>
            <w:tcW w:type="dxa" w:w="737"/>
            <w:vAlign w:val="center"/>
          </w:tcPr>
          <w:p>
            <w:pPr>
              <w:spacing w:after="0" w:line="240" w:lineRule="auto"/>
              <w:jc w:val="right"/>
            </w:pPr>
            <w:r>
              <w:rPr>
                <w:rFonts w:ascii="Helvetica" w:hAnsi="Helvetica"/>
                <w:b w:val="0"/>
                <w:color w:val="2B2B2B"/>
                <w:sz w:val="19"/>
              </w:rPr>
              <w:t>1</w:t>
            </w:r>
          </w:p>
        </w:tc>
        <w:tc>
          <w:tcPr>
            <w:tcW w:type="dxa" w:w="4025"/>
            <w:vAlign w:val="center"/>
          </w:tcPr>
          <w:p>
            <w:pPr>
              <w:spacing w:after="0" w:line="240" w:lineRule="auto"/>
              <w:jc w:val="left"/>
            </w:pPr>
            <w:r>
              <w:rPr>
                <w:rFonts w:ascii="Helvetica" w:hAnsi="Helvetica"/>
                <w:b w:val="0"/>
                <w:color w:val="2B2B2B"/>
                <w:sz w:val="19"/>
              </w:rPr>
              <w:t>Foxglove Stores LLC</w:t>
            </w:r>
          </w:p>
        </w:tc>
        <w:tc>
          <w:tcPr>
            <w:tcW w:type="dxa" w:w="2608"/>
            <w:vAlign w:val="center"/>
          </w:tcPr>
          <w:p>
            <w:pPr>
              <w:spacing w:after="0" w:line="240" w:lineRule="auto"/>
              <w:jc w:val="right"/>
            </w:pPr>
            <w:r>
              <w:rPr>
                <w:rFonts w:ascii="Helvetica" w:hAnsi="Helvetica"/>
                <w:b w:val="0"/>
                <w:color w:val="2B2B2B"/>
                <w:sz w:val="19"/>
              </w:rPr>
              <w:t>$92.686M</w:t>
            </w:r>
          </w:p>
        </w:tc>
        <w:tc>
          <w:tcPr>
            <w:tcW w:type="dxa" w:w="2268"/>
            <w:vAlign w:val="center"/>
          </w:tcPr>
          <w:p>
            <w:pPr>
              <w:spacing w:after="0" w:line="240" w:lineRule="auto"/>
              <w:jc w:val="right"/>
            </w:pPr>
            <w:r>
              <w:rPr>
                <w:rFonts w:ascii="Helvetica" w:hAnsi="Helvetica"/>
                <w:b w:val="0"/>
                <w:color w:val="2B2B2B"/>
                <w:sz w:val="19"/>
              </w:rPr>
              <w:t>1.34%</w:t>
            </w:r>
          </w:p>
        </w:tc>
      </w:tr>
      <w:tr>
        <w:tc>
          <w:tcPr>
            <w:tcW w:type="dxa" w:w="737"/>
            <w:shd w:val="clear" w:color="auto" w:fill="F2F4F5"/>
            <w:vAlign w:val="center"/>
          </w:tcPr>
          <w:p>
            <w:pPr>
              <w:spacing w:after="0" w:line="240" w:lineRule="auto"/>
              <w:jc w:val="right"/>
            </w:pPr>
            <w:r>
              <w:rPr>
                <w:rFonts w:ascii="Helvetica" w:hAnsi="Helvetica"/>
                <w:b w:val="0"/>
                <w:color w:val="2B2B2B"/>
                <w:sz w:val="19"/>
              </w:rPr>
              <w:t>2</w:t>
            </w:r>
          </w:p>
        </w:tc>
        <w:tc>
          <w:tcPr>
            <w:tcW w:type="dxa" w:w="4025"/>
            <w:shd w:val="clear" w:color="auto" w:fill="F2F4F5"/>
            <w:vAlign w:val="center"/>
          </w:tcPr>
          <w:p>
            <w:pPr>
              <w:spacing w:after="0" w:line="240" w:lineRule="auto"/>
              <w:jc w:val="left"/>
            </w:pPr>
            <w:r>
              <w:rPr>
                <w:rFonts w:ascii="Helvetica" w:hAnsi="Helvetica"/>
                <w:b w:val="0"/>
                <w:color w:val="2B2B2B"/>
                <w:sz w:val="19"/>
              </w:rPr>
              <w:t>Pearl Developments Ltd.</w:t>
            </w:r>
          </w:p>
        </w:tc>
        <w:tc>
          <w:tcPr>
            <w:tcW w:type="dxa" w:w="2608"/>
            <w:shd w:val="clear" w:color="auto" w:fill="F2F4F5"/>
            <w:vAlign w:val="center"/>
          </w:tcPr>
          <w:p>
            <w:pPr>
              <w:spacing w:after="0" w:line="240" w:lineRule="auto"/>
              <w:jc w:val="right"/>
            </w:pPr>
            <w:r>
              <w:rPr>
                <w:rFonts w:ascii="Helvetica" w:hAnsi="Helvetica"/>
                <w:b w:val="0"/>
                <w:color w:val="2B2B2B"/>
                <w:sz w:val="19"/>
              </w:rPr>
              <w:t>$74.964M</w:t>
            </w:r>
          </w:p>
        </w:tc>
        <w:tc>
          <w:tcPr>
            <w:tcW w:type="dxa" w:w="2268"/>
            <w:shd w:val="clear" w:color="auto" w:fill="F2F4F5"/>
            <w:vAlign w:val="center"/>
          </w:tcPr>
          <w:p>
            <w:pPr>
              <w:spacing w:after="0" w:line="240" w:lineRule="auto"/>
              <w:jc w:val="right"/>
            </w:pPr>
            <w:r>
              <w:rPr>
                <w:rFonts w:ascii="Helvetica" w:hAnsi="Helvetica"/>
                <w:b w:val="0"/>
                <w:color w:val="2B2B2B"/>
                <w:sz w:val="19"/>
              </w:rPr>
              <w:t>1.08%</w:t>
            </w:r>
          </w:p>
        </w:tc>
      </w:tr>
      <w:tr>
        <w:tc>
          <w:tcPr>
            <w:tcW w:type="dxa" w:w="737"/>
            <w:vAlign w:val="center"/>
          </w:tcPr>
          <w:p>
            <w:pPr>
              <w:spacing w:after="0" w:line="240" w:lineRule="auto"/>
              <w:jc w:val="right"/>
            </w:pPr>
            <w:r>
              <w:rPr>
                <w:rFonts w:ascii="Helvetica" w:hAnsi="Helvetica"/>
                <w:b w:val="0"/>
                <w:color w:val="2B2B2B"/>
                <w:sz w:val="19"/>
              </w:rPr>
              <w:t>3</w:t>
            </w:r>
          </w:p>
        </w:tc>
        <w:tc>
          <w:tcPr>
            <w:tcW w:type="dxa" w:w="4025"/>
            <w:vAlign w:val="center"/>
          </w:tcPr>
          <w:p>
            <w:pPr>
              <w:spacing w:after="0" w:line="240" w:lineRule="auto"/>
              <w:jc w:val="left"/>
            </w:pPr>
            <w:r>
              <w:rPr>
                <w:rFonts w:ascii="Helvetica" w:hAnsi="Helvetica"/>
                <w:b w:val="0"/>
                <w:color w:val="2B2B2B"/>
                <w:sz w:val="19"/>
              </w:rPr>
              <w:t>Granite Fabrication Ltd.</w:t>
            </w:r>
          </w:p>
        </w:tc>
        <w:tc>
          <w:tcPr>
            <w:tcW w:type="dxa" w:w="2608"/>
            <w:vAlign w:val="center"/>
          </w:tcPr>
          <w:p>
            <w:pPr>
              <w:spacing w:after="0" w:line="240" w:lineRule="auto"/>
              <w:jc w:val="right"/>
            </w:pPr>
            <w:r>
              <w:rPr>
                <w:rFonts w:ascii="Helvetica" w:hAnsi="Helvetica"/>
                <w:b w:val="0"/>
                <w:color w:val="2B2B2B"/>
                <w:sz w:val="19"/>
              </w:rPr>
              <w:t>$70.434M</w:t>
            </w:r>
          </w:p>
        </w:tc>
        <w:tc>
          <w:tcPr>
            <w:tcW w:type="dxa" w:w="2268"/>
            <w:vAlign w:val="center"/>
          </w:tcPr>
          <w:p>
            <w:pPr>
              <w:spacing w:after="0" w:line="240" w:lineRule="auto"/>
              <w:jc w:val="right"/>
            </w:pPr>
            <w:r>
              <w:rPr>
                <w:rFonts w:ascii="Helvetica" w:hAnsi="Helvetica"/>
                <w:b w:val="0"/>
                <w:color w:val="2B2B2B"/>
                <w:sz w:val="19"/>
              </w:rPr>
              <w:t>1.02%</w:t>
            </w:r>
          </w:p>
        </w:tc>
      </w:tr>
      <w:tr>
        <w:tc>
          <w:tcPr>
            <w:tcW w:type="dxa" w:w="737"/>
            <w:shd w:val="clear" w:color="auto" w:fill="F2F4F5"/>
            <w:vAlign w:val="center"/>
          </w:tcPr>
          <w:p>
            <w:pPr>
              <w:spacing w:after="0" w:line="240" w:lineRule="auto"/>
              <w:jc w:val="right"/>
            </w:pPr>
            <w:r>
              <w:rPr>
                <w:rFonts w:ascii="Helvetica" w:hAnsi="Helvetica"/>
                <w:b w:val="0"/>
                <w:color w:val="2B2B2B"/>
                <w:sz w:val="19"/>
              </w:rPr>
              <w:t>4</w:t>
            </w:r>
          </w:p>
        </w:tc>
        <w:tc>
          <w:tcPr>
            <w:tcW w:type="dxa" w:w="4025"/>
            <w:shd w:val="clear" w:color="auto" w:fill="F2F4F5"/>
            <w:vAlign w:val="center"/>
          </w:tcPr>
          <w:p>
            <w:pPr>
              <w:spacing w:after="0" w:line="240" w:lineRule="auto"/>
              <w:jc w:val="left"/>
            </w:pPr>
            <w:r>
              <w:rPr>
                <w:rFonts w:ascii="Helvetica" w:hAnsi="Helvetica"/>
                <w:b w:val="0"/>
                <w:color w:val="2B2B2B"/>
                <w:sz w:val="19"/>
              </w:rPr>
              <w:t>Montcalm Entreposage inc.</w:t>
            </w:r>
          </w:p>
        </w:tc>
        <w:tc>
          <w:tcPr>
            <w:tcW w:type="dxa" w:w="2608"/>
            <w:shd w:val="clear" w:color="auto" w:fill="F2F4F5"/>
            <w:vAlign w:val="center"/>
          </w:tcPr>
          <w:p>
            <w:pPr>
              <w:spacing w:after="0" w:line="240" w:lineRule="auto"/>
              <w:jc w:val="right"/>
            </w:pPr>
            <w:r>
              <w:rPr>
                <w:rFonts w:ascii="Helvetica" w:hAnsi="Helvetica"/>
                <w:b w:val="0"/>
                <w:color w:val="2B2B2B"/>
                <w:sz w:val="19"/>
              </w:rPr>
              <w:t>$65.687M</w:t>
            </w:r>
          </w:p>
        </w:tc>
        <w:tc>
          <w:tcPr>
            <w:tcW w:type="dxa" w:w="2268"/>
            <w:shd w:val="clear" w:color="auto" w:fill="F2F4F5"/>
            <w:vAlign w:val="center"/>
          </w:tcPr>
          <w:p>
            <w:pPr>
              <w:spacing w:after="0" w:line="240" w:lineRule="auto"/>
              <w:jc w:val="right"/>
            </w:pPr>
            <w:r>
              <w:rPr>
                <w:rFonts w:ascii="Helvetica" w:hAnsi="Helvetica"/>
                <w:b w:val="0"/>
                <w:color w:val="2B2B2B"/>
                <w:sz w:val="19"/>
              </w:rPr>
              <w:t>0.95%</w:t>
            </w:r>
          </w:p>
        </w:tc>
      </w:tr>
      <w:tr>
        <w:tc>
          <w:tcPr>
            <w:tcW w:type="dxa" w:w="737"/>
            <w:vAlign w:val="center"/>
          </w:tcPr>
          <w:p>
            <w:pPr>
              <w:spacing w:after="0" w:line="240" w:lineRule="auto"/>
              <w:jc w:val="right"/>
            </w:pPr>
            <w:r>
              <w:rPr>
                <w:rFonts w:ascii="Helvetica" w:hAnsi="Helvetica"/>
                <w:b w:val="0"/>
                <w:color w:val="2B2B2B"/>
                <w:sz w:val="19"/>
              </w:rPr>
              <w:t>5</w:t>
            </w:r>
          </w:p>
        </w:tc>
        <w:tc>
          <w:tcPr>
            <w:tcW w:type="dxa" w:w="4025"/>
            <w:vAlign w:val="center"/>
          </w:tcPr>
          <w:p>
            <w:pPr>
              <w:spacing w:after="0" w:line="240" w:lineRule="auto"/>
              <w:jc w:val="left"/>
            </w:pPr>
            <w:r>
              <w:rPr>
                <w:rFonts w:ascii="Helvetica" w:hAnsi="Helvetica"/>
                <w:b w:val="0"/>
                <w:color w:val="2B2B2B"/>
                <w:sz w:val="19"/>
              </w:rPr>
              <w:t>Falcon Retail Group LLC</w:t>
            </w:r>
          </w:p>
        </w:tc>
        <w:tc>
          <w:tcPr>
            <w:tcW w:type="dxa" w:w="2608"/>
            <w:vAlign w:val="center"/>
          </w:tcPr>
          <w:p>
            <w:pPr>
              <w:spacing w:after="0" w:line="240" w:lineRule="auto"/>
              <w:jc w:val="right"/>
            </w:pPr>
            <w:r>
              <w:rPr>
                <w:rFonts w:ascii="Helvetica" w:hAnsi="Helvetica"/>
                <w:b w:val="0"/>
                <w:color w:val="2B2B2B"/>
                <w:sz w:val="19"/>
              </w:rPr>
              <w:t>$54.343M</w:t>
            </w:r>
          </w:p>
        </w:tc>
        <w:tc>
          <w:tcPr>
            <w:tcW w:type="dxa" w:w="2268"/>
            <w:vAlign w:val="center"/>
          </w:tcPr>
          <w:p>
            <w:pPr>
              <w:spacing w:after="0" w:line="240" w:lineRule="auto"/>
              <w:jc w:val="right"/>
            </w:pPr>
            <w:r>
              <w:rPr>
                <w:rFonts w:ascii="Helvetica" w:hAnsi="Helvetica"/>
                <w:b w:val="0"/>
                <w:color w:val="2B2B2B"/>
                <w:sz w:val="19"/>
              </w:rPr>
              <w:t>0.79%</w:t>
            </w:r>
          </w:p>
        </w:tc>
      </w:tr>
      <w:tr>
        <w:tc>
          <w:tcPr>
            <w:tcW w:type="dxa" w:w="737"/>
            <w:shd w:val="clear" w:color="auto" w:fill="F2F4F5"/>
            <w:vAlign w:val="center"/>
          </w:tcPr>
          <w:p>
            <w:pPr>
              <w:spacing w:after="0" w:line="240" w:lineRule="auto"/>
              <w:jc w:val="right"/>
            </w:pPr>
            <w:r>
              <w:rPr>
                <w:rFonts w:ascii="Helvetica" w:hAnsi="Helvetica"/>
                <w:b w:val="0"/>
                <w:color w:val="2B2B2B"/>
                <w:sz w:val="19"/>
              </w:rPr>
              <w:t>6</w:t>
            </w:r>
          </w:p>
        </w:tc>
        <w:tc>
          <w:tcPr>
            <w:tcW w:type="dxa" w:w="4025"/>
            <w:shd w:val="clear" w:color="auto" w:fill="F2F4F5"/>
            <w:vAlign w:val="center"/>
          </w:tcPr>
          <w:p>
            <w:pPr>
              <w:spacing w:after="0" w:line="240" w:lineRule="auto"/>
              <w:jc w:val="left"/>
            </w:pPr>
            <w:r>
              <w:rPr>
                <w:rFonts w:ascii="Helvetica" w:hAnsi="Helvetica"/>
                <w:b w:val="0"/>
                <w:color w:val="2B2B2B"/>
                <w:sz w:val="19"/>
              </w:rPr>
              <w:t>Érable Fleuve Entreposage Inc.</w:t>
            </w:r>
          </w:p>
        </w:tc>
        <w:tc>
          <w:tcPr>
            <w:tcW w:type="dxa" w:w="2608"/>
            <w:shd w:val="clear" w:color="auto" w:fill="F2F4F5"/>
            <w:vAlign w:val="center"/>
          </w:tcPr>
          <w:p>
            <w:pPr>
              <w:spacing w:after="0" w:line="240" w:lineRule="auto"/>
              <w:jc w:val="right"/>
            </w:pPr>
            <w:r>
              <w:rPr>
                <w:rFonts w:ascii="Helvetica" w:hAnsi="Helvetica"/>
                <w:b w:val="0"/>
                <w:color w:val="2B2B2B"/>
                <w:sz w:val="19"/>
              </w:rPr>
              <w:t>$53.614M</w:t>
            </w:r>
          </w:p>
        </w:tc>
        <w:tc>
          <w:tcPr>
            <w:tcW w:type="dxa" w:w="2268"/>
            <w:shd w:val="clear" w:color="auto" w:fill="F2F4F5"/>
            <w:vAlign w:val="center"/>
          </w:tcPr>
          <w:p>
            <w:pPr>
              <w:spacing w:after="0" w:line="240" w:lineRule="auto"/>
              <w:jc w:val="right"/>
            </w:pPr>
            <w:r>
              <w:rPr>
                <w:rFonts w:ascii="Helvetica" w:hAnsi="Helvetica"/>
                <w:b w:val="0"/>
                <w:color w:val="2B2B2B"/>
                <w:sz w:val="19"/>
              </w:rPr>
              <w:t>0.78%</w:t>
            </w:r>
          </w:p>
        </w:tc>
      </w:tr>
      <w:tr>
        <w:tc>
          <w:tcPr>
            <w:tcW w:type="dxa" w:w="737"/>
            <w:vAlign w:val="center"/>
          </w:tcPr>
          <w:p>
            <w:pPr>
              <w:spacing w:after="0" w:line="240" w:lineRule="auto"/>
              <w:jc w:val="right"/>
            </w:pPr>
            <w:r>
              <w:rPr>
                <w:rFonts w:ascii="Helvetica" w:hAnsi="Helvetica"/>
                <w:b w:val="0"/>
                <w:color w:val="2B2B2B"/>
                <w:sz w:val="19"/>
              </w:rPr>
              <w:t>7</w:t>
            </w:r>
          </w:p>
        </w:tc>
        <w:tc>
          <w:tcPr>
            <w:tcW w:type="dxa" w:w="4025"/>
            <w:vAlign w:val="center"/>
          </w:tcPr>
          <w:p>
            <w:pPr>
              <w:spacing w:after="0" w:line="240" w:lineRule="auto"/>
              <w:jc w:val="left"/>
            </w:pPr>
            <w:r>
              <w:rPr>
                <w:rFonts w:ascii="Helvetica" w:hAnsi="Helvetica"/>
                <w:b w:val="0"/>
                <w:color w:val="2B2B2B"/>
                <w:sz w:val="19"/>
              </w:rPr>
              <w:t>Saint-Laurent Académie ltée</w:t>
            </w:r>
          </w:p>
        </w:tc>
        <w:tc>
          <w:tcPr>
            <w:tcW w:type="dxa" w:w="2608"/>
            <w:vAlign w:val="center"/>
          </w:tcPr>
          <w:p>
            <w:pPr>
              <w:spacing w:after="0" w:line="240" w:lineRule="auto"/>
              <w:jc w:val="right"/>
            </w:pPr>
            <w:r>
              <w:rPr>
                <w:rFonts w:ascii="Helvetica" w:hAnsi="Helvetica"/>
                <w:b w:val="0"/>
                <w:color w:val="2B2B2B"/>
                <w:sz w:val="19"/>
              </w:rPr>
              <w:t>$50.467M</w:t>
            </w:r>
          </w:p>
        </w:tc>
        <w:tc>
          <w:tcPr>
            <w:tcW w:type="dxa" w:w="2268"/>
            <w:vAlign w:val="center"/>
          </w:tcPr>
          <w:p>
            <w:pPr>
              <w:spacing w:after="0" w:line="240" w:lineRule="auto"/>
              <w:jc w:val="right"/>
            </w:pPr>
            <w:r>
              <w:rPr>
                <w:rFonts w:ascii="Helvetica" w:hAnsi="Helvetica"/>
                <w:b w:val="0"/>
                <w:color w:val="2B2B2B"/>
                <w:sz w:val="19"/>
              </w:rPr>
              <w:t>0.73%</w:t>
            </w:r>
          </w:p>
        </w:tc>
      </w:tr>
      <w:tr>
        <w:tc>
          <w:tcPr>
            <w:tcW w:type="dxa" w:w="737"/>
            <w:shd w:val="clear" w:color="auto" w:fill="F2F4F5"/>
            <w:vAlign w:val="center"/>
          </w:tcPr>
          <w:p>
            <w:pPr>
              <w:spacing w:after="0" w:line="240" w:lineRule="auto"/>
              <w:jc w:val="right"/>
            </w:pPr>
            <w:r>
              <w:rPr>
                <w:rFonts w:ascii="Helvetica" w:hAnsi="Helvetica"/>
                <w:b w:val="0"/>
                <w:color w:val="2B2B2B"/>
                <w:sz w:val="19"/>
              </w:rPr>
              <w:t>8</w:t>
            </w:r>
          </w:p>
        </w:tc>
        <w:tc>
          <w:tcPr>
            <w:tcW w:type="dxa" w:w="4025"/>
            <w:shd w:val="clear" w:color="auto" w:fill="F2F4F5"/>
            <w:vAlign w:val="center"/>
          </w:tcPr>
          <w:p>
            <w:pPr>
              <w:spacing w:after="0" w:line="240" w:lineRule="auto"/>
              <w:jc w:val="left"/>
            </w:pPr>
            <w:r>
              <w:rPr>
                <w:rFonts w:ascii="Helvetica" w:hAnsi="Helvetica"/>
                <w:b w:val="0"/>
                <w:color w:val="2B2B2B"/>
                <w:sz w:val="19"/>
              </w:rPr>
              <w:t>Al Waha Property Management LLC</w:t>
            </w:r>
          </w:p>
        </w:tc>
        <w:tc>
          <w:tcPr>
            <w:tcW w:type="dxa" w:w="2608"/>
            <w:shd w:val="clear" w:color="auto" w:fill="F2F4F5"/>
            <w:vAlign w:val="center"/>
          </w:tcPr>
          <w:p>
            <w:pPr>
              <w:spacing w:after="0" w:line="240" w:lineRule="auto"/>
              <w:jc w:val="right"/>
            </w:pPr>
            <w:r>
              <w:rPr>
                <w:rFonts w:ascii="Helvetica" w:hAnsi="Helvetica"/>
                <w:b w:val="0"/>
                <w:color w:val="2B2B2B"/>
                <w:sz w:val="19"/>
              </w:rPr>
              <w:t>$49.629M</w:t>
            </w:r>
          </w:p>
        </w:tc>
        <w:tc>
          <w:tcPr>
            <w:tcW w:type="dxa" w:w="2268"/>
            <w:shd w:val="clear" w:color="auto" w:fill="F2F4F5"/>
            <w:vAlign w:val="center"/>
          </w:tcPr>
          <w:p>
            <w:pPr>
              <w:spacing w:after="0" w:line="240" w:lineRule="auto"/>
              <w:jc w:val="right"/>
            </w:pPr>
            <w:r>
              <w:rPr>
                <w:rFonts w:ascii="Helvetica" w:hAnsi="Helvetica"/>
                <w:b w:val="0"/>
                <w:color w:val="2B2B2B"/>
                <w:sz w:val="19"/>
              </w:rPr>
              <w:t>0.72%</w:t>
            </w:r>
          </w:p>
        </w:tc>
      </w:tr>
      <w:tr>
        <w:tc>
          <w:tcPr>
            <w:tcW w:type="dxa" w:w="737"/>
            <w:vAlign w:val="center"/>
          </w:tcPr>
          <w:p>
            <w:pPr>
              <w:spacing w:after="0" w:line="240" w:lineRule="auto"/>
              <w:jc w:val="right"/>
            </w:pPr>
            <w:r>
              <w:rPr>
                <w:rFonts w:ascii="Helvetica" w:hAnsi="Helvetica"/>
                <w:b w:val="0"/>
                <w:color w:val="2B2B2B"/>
                <w:sz w:val="19"/>
              </w:rPr>
              <w:t>9</w:t>
            </w:r>
          </w:p>
        </w:tc>
        <w:tc>
          <w:tcPr>
            <w:tcW w:type="dxa" w:w="4025"/>
            <w:vAlign w:val="center"/>
          </w:tcPr>
          <w:p>
            <w:pPr>
              <w:spacing w:after="0" w:line="240" w:lineRule="auto"/>
              <w:jc w:val="left"/>
            </w:pPr>
            <w:r>
              <w:rPr>
                <w:rFonts w:ascii="Helvetica" w:hAnsi="Helvetica"/>
                <w:b w:val="0"/>
                <w:color w:val="2B2B2B"/>
                <w:sz w:val="19"/>
              </w:rPr>
              <w:t>Driftwood Distribution Ltd.</w:t>
            </w:r>
          </w:p>
        </w:tc>
        <w:tc>
          <w:tcPr>
            <w:tcW w:type="dxa" w:w="2608"/>
            <w:vAlign w:val="center"/>
          </w:tcPr>
          <w:p>
            <w:pPr>
              <w:spacing w:after="0" w:line="240" w:lineRule="auto"/>
              <w:jc w:val="right"/>
            </w:pPr>
            <w:r>
              <w:rPr>
                <w:rFonts w:ascii="Helvetica" w:hAnsi="Helvetica"/>
                <w:b w:val="0"/>
                <w:color w:val="2B2B2B"/>
                <w:sz w:val="19"/>
              </w:rPr>
              <w:t>$46.124M</w:t>
            </w:r>
          </w:p>
        </w:tc>
        <w:tc>
          <w:tcPr>
            <w:tcW w:type="dxa" w:w="2268"/>
            <w:vAlign w:val="center"/>
          </w:tcPr>
          <w:p>
            <w:pPr>
              <w:spacing w:after="0" w:line="240" w:lineRule="auto"/>
              <w:jc w:val="right"/>
            </w:pPr>
            <w:r>
              <w:rPr>
                <w:rFonts w:ascii="Helvetica" w:hAnsi="Helvetica"/>
                <w:b w:val="0"/>
                <w:color w:val="2B2B2B"/>
                <w:sz w:val="19"/>
              </w:rPr>
              <w:t>0.67%</w:t>
            </w:r>
          </w:p>
        </w:tc>
      </w:tr>
      <w:tr>
        <w:tc>
          <w:tcPr>
            <w:tcW w:type="dxa" w:w="737"/>
            <w:shd w:val="clear" w:color="auto" w:fill="F2F4F5"/>
            <w:vAlign w:val="center"/>
          </w:tcPr>
          <w:p>
            <w:pPr>
              <w:spacing w:after="0" w:line="240" w:lineRule="auto"/>
              <w:jc w:val="right"/>
            </w:pPr>
            <w:r>
              <w:rPr>
                <w:rFonts w:ascii="Helvetica" w:hAnsi="Helvetica"/>
                <w:b w:val="0"/>
                <w:color w:val="2B2B2B"/>
                <w:sz w:val="19"/>
              </w:rPr>
              <w:t>10</w:t>
            </w:r>
          </w:p>
        </w:tc>
        <w:tc>
          <w:tcPr>
            <w:tcW w:type="dxa" w:w="4025"/>
            <w:shd w:val="clear" w:color="auto" w:fill="F2F4F5"/>
            <w:vAlign w:val="center"/>
          </w:tcPr>
          <w:p>
            <w:pPr>
              <w:spacing w:after="0" w:line="240" w:lineRule="auto"/>
              <w:jc w:val="left"/>
            </w:pPr>
            <w:r>
              <w:rPr>
                <w:rFonts w:ascii="Helvetica" w:hAnsi="Helvetica"/>
                <w:b w:val="0"/>
                <w:color w:val="2B2B2B"/>
                <w:sz w:val="19"/>
              </w:rPr>
              <w:t>Meridian Cedar Developments Ltd.</w:t>
            </w:r>
          </w:p>
        </w:tc>
        <w:tc>
          <w:tcPr>
            <w:tcW w:type="dxa" w:w="2608"/>
            <w:shd w:val="clear" w:color="auto" w:fill="F2F4F5"/>
            <w:vAlign w:val="center"/>
          </w:tcPr>
          <w:p>
            <w:pPr>
              <w:spacing w:after="0" w:line="240" w:lineRule="auto"/>
              <w:jc w:val="right"/>
            </w:pPr>
            <w:r>
              <w:rPr>
                <w:rFonts w:ascii="Helvetica" w:hAnsi="Helvetica"/>
                <w:b w:val="0"/>
                <w:color w:val="2B2B2B"/>
                <w:sz w:val="19"/>
              </w:rPr>
              <w:t>$43.360M</w:t>
            </w:r>
          </w:p>
        </w:tc>
        <w:tc>
          <w:tcPr>
            <w:tcW w:type="dxa" w:w="2268"/>
            <w:shd w:val="clear" w:color="auto" w:fill="F2F4F5"/>
            <w:vAlign w:val="center"/>
          </w:tcPr>
          <w:p>
            <w:pPr>
              <w:spacing w:after="0" w:line="240" w:lineRule="auto"/>
              <w:jc w:val="right"/>
            </w:pPr>
            <w:r>
              <w:rPr>
                <w:rFonts w:ascii="Helvetica" w:hAnsi="Helvetica"/>
                <w:b w:val="0"/>
                <w:color w:val="2B2B2B"/>
                <w:sz w:val="19"/>
              </w:rPr>
              <w:t>0.63%</w:t>
            </w:r>
          </w:p>
        </w:tc>
      </w:tr>
      <w:tr>
        <w:tc>
          <w:tcPr>
            <w:tcW w:type="dxa" w:w="737"/>
            <w:vAlign w:val="center"/>
          </w:tcPr>
          <w:p>
            <w:pPr>
              <w:spacing w:after="0" w:line="240" w:lineRule="auto"/>
              <w:jc w:val="right"/>
            </w:pPr>
            <w:r>
              <w:rPr>
                <w:rFonts w:ascii="Helvetica" w:hAnsi="Helvetica"/>
                <w:b w:val="0"/>
                <w:color w:val="2B2B2B"/>
                <w:sz w:val="19"/>
              </w:rPr>
              <w:t>11</w:t>
            </w:r>
          </w:p>
        </w:tc>
        <w:tc>
          <w:tcPr>
            <w:tcW w:type="dxa" w:w="4025"/>
            <w:vAlign w:val="center"/>
          </w:tcPr>
          <w:p>
            <w:pPr>
              <w:spacing w:after="0" w:line="240" w:lineRule="auto"/>
              <w:jc w:val="left"/>
            </w:pPr>
            <w:r>
              <w:rPr>
                <w:rFonts w:ascii="Helvetica" w:hAnsi="Helvetica"/>
                <w:b w:val="0"/>
                <w:color w:val="2B2B2B"/>
                <w:sz w:val="19"/>
              </w:rPr>
              <w:t>Atlas Manufacturing Ltd.</w:t>
            </w:r>
          </w:p>
        </w:tc>
        <w:tc>
          <w:tcPr>
            <w:tcW w:type="dxa" w:w="2608"/>
            <w:vAlign w:val="center"/>
          </w:tcPr>
          <w:p>
            <w:pPr>
              <w:spacing w:after="0" w:line="240" w:lineRule="auto"/>
              <w:jc w:val="right"/>
            </w:pPr>
            <w:r>
              <w:rPr>
                <w:rFonts w:ascii="Helvetica" w:hAnsi="Helvetica"/>
                <w:b w:val="0"/>
                <w:color w:val="2B2B2B"/>
                <w:sz w:val="19"/>
              </w:rPr>
              <w:t>$39.533M</w:t>
            </w:r>
          </w:p>
        </w:tc>
        <w:tc>
          <w:tcPr>
            <w:tcW w:type="dxa" w:w="2268"/>
            <w:vAlign w:val="center"/>
          </w:tcPr>
          <w:p>
            <w:pPr>
              <w:spacing w:after="0" w:line="240" w:lineRule="auto"/>
              <w:jc w:val="right"/>
            </w:pPr>
            <w:r>
              <w:rPr>
                <w:rFonts w:ascii="Helvetica" w:hAnsi="Helvetica"/>
                <w:b w:val="0"/>
                <w:color w:val="2B2B2B"/>
                <w:sz w:val="19"/>
              </w:rPr>
              <w:t>0.57%</w:t>
            </w:r>
          </w:p>
        </w:tc>
      </w:tr>
      <w:tr>
        <w:tc>
          <w:tcPr>
            <w:tcW w:type="dxa" w:w="737"/>
            <w:shd w:val="clear" w:color="auto" w:fill="F2F4F5"/>
            <w:vAlign w:val="center"/>
          </w:tcPr>
          <w:p>
            <w:pPr>
              <w:spacing w:after="0" w:line="240" w:lineRule="auto"/>
              <w:jc w:val="right"/>
            </w:pPr>
            <w:r>
              <w:rPr>
                <w:rFonts w:ascii="Helvetica" w:hAnsi="Helvetica"/>
                <w:b w:val="0"/>
                <w:color w:val="2B2B2B"/>
                <w:sz w:val="19"/>
              </w:rPr>
              <w:t>12</w:t>
            </w:r>
          </w:p>
        </w:tc>
        <w:tc>
          <w:tcPr>
            <w:tcW w:type="dxa" w:w="4025"/>
            <w:shd w:val="clear" w:color="auto" w:fill="F2F4F5"/>
            <w:vAlign w:val="center"/>
          </w:tcPr>
          <w:p>
            <w:pPr>
              <w:spacing w:after="0" w:line="240" w:lineRule="auto"/>
              <w:jc w:val="left"/>
            </w:pPr>
            <w:r>
              <w:rPr>
                <w:rFonts w:ascii="Helvetica" w:hAnsi="Helvetica"/>
                <w:b w:val="0"/>
                <w:color w:val="2B2B2B"/>
                <w:sz w:val="19"/>
              </w:rPr>
              <w:t>Meridian Industries Corp.</w:t>
            </w:r>
          </w:p>
        </w:tc>
        <w:tc>
          <w:tcPr>
            <w:tcW w:type="dxa" w:w="2608"/>
            <w:shd w:val="clear" w:color="auto" w:fill="F2F4F5"/>
            <w:vAlign w:val="center"/>
          </w:tcPr>
          <w:p>
            <w:pPr>
              <w:spacing w:after="0" w:line="240" w:lineRule="auto"/>
              <w:jc w:val="right"/>
            </w:pPr>
            <w:r>
              <w:rPr>
                <w:rFonts w:ascii="Helvetica" w:hAnsi="Helvetica"/>
                <w:b w:val="0"/>
                <w:color w:val="2B2B2B"/>
                <w:sz w:val="19"/>
              </w:rPr>
              <w:t>$36.849M</w:t>
            </w:r>
          </w:p>
        </w:tc>
        <w:tc>
          <w:tcPr>
            <w:tcW w:type="dxa" w:w="2268"/>
            <w:shd w:val="clear" w:color="auto" w:fill="F2F4F5"/>
            <w:vAlign w:val="center"/>
          </w:tcPr>
          <w:p>
            <w:pPr>
              <w:spacing w:after="0" w:line="240" w:lineRule="auto"/>
              <w:jc w:val="right"/>
            </w:pPr>
            <w:r>
              <w:rPr>
                <w:rFonts w:ascii="Helvetica" w:hAnsi="Helvetica"/>
                <w:b w:val="0"/>
                <w:color w:val="2B2B2B"/>
                <w:sz w:val="19"/>
              </w:rPr>
              <w:t>0.53%</w:t>
            </w:r>
          </w:p>
        </w:tc>
      </w:tr>
      <w:tr>
        <w:tc>
          <w:tcPr>
            <w:tcW w:type="dxa" w:w="737"/>
            <w:vAlign w:val="center"/>
          </w:tcPr>
          <w:p>
            <w:pPr>
              <w:spacing w:after="0" w:line="240" w:lineRule="auto"/>
              <w:jc w:val="right"/>
            </w:pPr>
            <w:r>
              <w:rPr>
                <w:rFonts w:ascii="Helvetica" w:hAnsi="Helvetica"/>
                <w:b w:val="0"/>
                <w:color w:val="2B2B2B"/>
                <w:sz w:val="19"/>
              </w:rPr>
              <w:t>13</w:t>
            </w:r>
          </w:p>
        </w:tc>
        <w:tc>
          <w:tcPr>
            <w:tcW w:type="dxa" w:w="4025"/>
            <w:vAlign w:val="center"/>
          </w:tcPr>
          <w:p>
            <w:pPr>
              <w:spacing w:after="0" w:line="240" w:lineRule="auto"/>
              <w:jc w:val="left"/>
            </w:pPr>
            <w:r>
              <w:rPr>
                <w:rFonts w:ascii="Helvetica" w:hAnsi="Helvetica"/>
                <w:b w:val="0"/>
                <w:color w:val="2B2B2B"/>
                <w:sz w:val="19"/>
              </w:rPr>
              <w:t>Westbrook Logistics LLC</w:t>
            </w:r>
          </w:p>
        </w:tc>
        <w:tc>
          <w:tcPr>
            <w:tcW w:type="dxa" w:w="2608"/>
            <w:vAlign w:val="center"/>
          </w:tcPr>
          <w:p>
            <w:pPr>
              <w:spacing w:after="0" w:line="240" w:lineRule="auto"/>
              <w:jc w:val="right"/>
            </w:pPr>
            <w:r>
              <w:rPr>
                <w:rFonts w:ascii="Helvetica" w:hAnsi="Helvetica"/>
                <w:b w:val="0"/>
                <w:color w:val="2B2B2B"/>
                <w:sz w:val="19"/>
              </w:rPr>
              <w:t>$35.479M</w:t>
            </w:r>
          </w:p>
        </w:tc>
        <w:tc>
          <w:tcPr>
            <w:tcW w:type="dxa" w:w="2268"/>
            <w:vAlign w:val="center"/>
          </w:tcPr>
          <w:p>
            <w:pPr>
              <w:spacing w:after="0" w:line="240" w:lineRule="auto"/>
              <w:jc w:val="right"/>
            </w:pPr>
            <w:r>
              <w:rPr>
                <w:rFonts w:ascii="Helvetica" w:hAnsi="Helvetica"/>
                <w:b w:val="0"/>
                <w:color w:val="2B2B2B"/>
                <w:sz w:val="19"/>
              </w:rPr>
              <w:t>0.51%</w:t>
            </w:r>
          </w:p>
        </w:tc>
      </w:tr>
      <w:tr>
        <w:tc>
          <w:tcPr>
            <w:tcW w:type="dxa" w:w="737"/>
            <w:shd w:val="clear" w:color="auto" w:fill="F2F4F5"/>
            <w:vAlign w:val="center"/>
          </w:tcPr>
          <w:p>
            <w:pPr>
              <w:spacing w:after="0" w:line="240" w:lineRule="auto"/>
              <w:jc w:val="right"/>
            </w:pPr>
            <w:r>
              <w:rPr>
                <w:rFonts w:ascii="Helvetica" w:hAnsi="Helvetica"/>
                <w:b w:val="0"/>
                <w:color w:val="2B2B2B"/>
                <w:sz w:val="19"/>
              </w:rPr>
              <w:t>14</w:t>
            </w:r>
          </w:p>
        </w:tc>
        <w:tc>
          <w:tcPr>
            <w:tcW w:type="dxa" w:w="4025"/>
            <w:shd w:val="clear" w:color="auto" w:fill="F2F4F5"/>
            <w:vAlign w:val="center"/>
          </w:tcPr>
          <w:p>
            <w:pPr>
              <w:spacing w:after="0" w:line="240" w:lineRule="auto"/>
              <w:jc w:val="left"/>
            </w:pPr>
            <w:r>
              <w:rPr>
                <w:rFonts w:ascii="Helvetica" w:hAnsi="Helvetica"/>
                <w:b w:val="0"/>
                <w:color w:val="2B2B2B"/>
                <w:sz w:val="19"/>
              </w:rPr>
              <w:t>Fleuve Santé ltée</w:t>
            </w:r>
          </w:p>
        </w:tc>
        <w:tc>
          <w:tcPr>
            <w:tcW w:type="dxa" w:w="2608"/>
            <w:shd w:val="clear" w:color="auto" w:fill="F2F4F5"/>
            <w:vAlign w:val="center"/>
          </w:tcPr>
          <w:p>
            <w:pPr>
              <w:spacing w:after="0" w:line="240" w:lineRule="auto"/>
              <w:jc w:val="right"/>
            </w:pPr>
            <w:r>
              <w:rPr>
                <w:rFonts w:ascii="Helvetica" w:hAnsi="Helvetica"/>
                <w:b w:val="0"/>
                <w:color w:val="2B2B2B"/>
                <w:sz w:val="19"/>
              </w:rPr>
              <w:t>$34.498M</w:t>
            </w:r>
          </w:p>
        </w:tc>
        <w:tc>
          <w:tcPr>
            <w:tcW w:type="dxa" w:w="2268"/>
            <w:shd w:val="clear" w:color="auto" w:fill="F2F4F5"/>
            <w:vAlign w:val="center"/>
          </w:tcPr>
          <w:p>
            <w:pPr>
              <w:spacing w:after="0" w:line="240" w:lineRule="auto"/>
              <w:jc w:val="right"/>
            </w:pPr>
            <w:r>
              <w:rPr>
                <w:rFonts w:ascii="Helvetica" w:hAnsi="Helvetica"/>
                <w:b w:val="0"/>
                <w:color w:val="2B2B2B"/>
                <w:sz w:val="19"/>
              </w:rPr>
              <w:t>0.50%</w:t>
            </w:r>
          </w:p>
        </w:tc>
      </w:tr>
      <w:tr>
        <w:tc>
          <w:tcPr>
            <w:tcW w:type="dxa" w:w="737"/>
            <w:vAlign w:val="center"/>
          </w:tcPr>
          <w:p>
            <w:pPr>
              <w:spacing w:after="0" w:line="240" w:lineRule="auto"/>
              <w:jc w:val="right"/>
            </w:pPr>
            <w:r>
              <w:rPr>
                <w:rFonts w:ascii="Helvetica" w:hAnsi="Helvetica"/>
                <w:b w:val="0"/>
                <w:color w:val="2B2B2B"/>
                <w:sz w:val="19"/>
              </w:rPr>
              <w:t>15</w:t>
            </w:r>
          </w:p>
        </w:tc>
        <w:tc>
          <w:tcPr>
            <w:tcW w:type="dxa" w:w="4025"/>
            <w:vAlign w:val="center"/>
          </w:tcPr>
          <w:p>
            <w:pPr>
              <w:spacing w:after="0" w:line="240" w:lineRule="auto"/>
              <w:jc w:val="left"/>
            </w:pPr>
            <w:r>
              <w:rPr>
                <w:rFonts w:ascii="Helvetica" w:hAnsi="Helvetica"/>
                <w:b w:val="0"/>
                <w:color w:val="2B2B2B"/>
                <w:sz w:val="19"/>
              </w:rPr>
              <w:t>Érable Mauricie Collège Inc.</w:t>
            </w:r>
          </w:p>
        </w:tc>
        <w:tc>
          <w:tcPr>
            <w:tcW w:type="dxa" w:w="2608"/>
            <w:vAlign w:val="center"/>
          </w:tcPr>
          <w:p>
            <w:pPr>
              <w:spacing w:after="0" w:line="240" w:lineRule="auto"/>
              <w:jc w:val="right"/>
            </w:pPr>
            <w:r>
              <w:rPr>
                <w:rFonts w:ascii="Helvetica" w:hAnsi="Helvetica"/>
                <w:b w:val="0"/>
                <w:color w:val="2B2B2B"/>
                <w:sz w:val="19"/>
              </w:rPr>
              <w:t>$33.975M</w:t>
            </w:r>
          </w:p>
        </w:tc>
        <w:tc>
          <w:tcPr>
            <w:tcW w:type="dxa" w:w="2268"/>
            <w:vAlign w:val="center"/>
          </w:tcPr>
          <w:p>
            <w:pPr>
              <w:spacing w:after="0" w:line="240" w:lineRule="auto"/>
              <w:jc w:val="right"/>
            </w:pPr>
            <w:r>
              <w:rPr>
                <w:rFonts w:ascii="Helvetica" w:hAnsi="Helvetica"/>
                <w:b w:val="0"/>
                <w:color w:val="2B2B2B"/>
                <w:sz w:val="19"/>
              </w:rPr>
              <w:t>0.49%</w:t>
            </w:r>
          </w:p>
        </w:tc>
      </w:tr>
      <w:tr>
        <w:tc>
          <w:tcPr>
            <w:tcW w:type="dxa" w:w="737"/>
            <w:shd w:val="clear" w:color="auto" w:fill="F2F4F5"/>
            <w:vAlign w:val="center"/>
          </w:tcPr>
          <w:p>
            <w:pPr>
              <w:spacing w:after="0" w:line="240" w:lineRule="auto"/>
              <w:jc w:val="right"/>
            </w:pPr>
            <w:r>
              <w:rPr>
                <w:rFonts w:ascii="Helvetica" w:hAnsi="Helvetica"/>
                <w:b w:val="0"/>
                <w:color w:val="2B2B2B"/>
                <w:sz w:val="19"/>
              </w:rPr>
              <w:t>16</w:t>
            </w:r>
          </w:p>
        </w:tc>
        <w:tc>
          <w:tcPr>
            <w:tcW w:type="dxa" w:w="4025"/>
            <w:shd w:val="clear" w:color="auto" w:fill="F2F4F5"/>
            <w:vAlign w:val="center"/>
          </w:tcPr>
          <w:p>
            <w:pPr>
              <w:spacing w:after="0" w:line="240" w:lineRule="auto"/>
              <w:jc w:val="left"/>
            </w:pPr>
            <w:r>
              <w:rPr>
                <w:rFonts w:ascii="Helvetica" w:hAnsi="Helvetica"/>
                <w:b w:val="0"/>
                <w:color w:val="2B2B2B"/>
                <w:sz w:val="19"/>
              </w:rPr>
              <w:t>Fleuve Beauport Logistique inc.</w:t>
            </w:r>
          </w:p>
        </w:tc>
        <w:tc>
          <w:tcPr>
            <w:tcW w:type="dxa" w:w="2608"/>
            <w:shd w:val="clear" w:color="auto" w:fill="F2F4F5"/>
            <w:vAlign w:val="center"/>
          </w:tcPr>
          <w:p>
            <w:pPr>
              <w:spacing w:after="0" w:line="240" w:lineRule="auto"/>
              <w:jc w:val="right"/>
            </w:pPr>
            <w:r>
              <w:rPr>
                <w:rFonts w:ascii="Helvetica" w:hAnsi="Helvetica"/>
                <w:b w:val="0"/>
                <w:color w:val="2B2B2B"/>
                <w:sz w:val="19"/>
              </w:rPr>
              <w:t>$33.288M</w:t>
            </w:r>
          </w:p>
        </w:tc>
        <w:tc>
          <w:tcPr>
            <w:tcW w:type="dxa" w:w="2268"/>
            <w:shd w:val="clear" w:color="auto" w:fill="F2F4F5"/>
            <w:vAlign w:val="center"/>
          </w:tcPr>
          <w:p>
            <w:pPr>
              <w:spacing w:after="0" w:line="240" w:lineRule="auto"/>
              <w:jc w:val="right"/>
            </w:pPr>
            <w:r>
              <w:rPr>
                <w:rFonts w:ascii="Helvetica" w:hAnsi="Helvetica"/>
                <w:b w:val="0"/>
                <w:color w:val="2B2B2B"/>
                <w:sz w:val="19"/>
              </w:rPr>
              <w:t>0.48%</w:t>
            </w:r>
          </w:p>
        </w:tc>
      </w:tr>
      <w:tr>
        <w:tc>
          <w:tcPr>
            <w:tcW w:type="dxa" w:w="737"/>
            <w:vAlign w:val="center"/>
          </w:tcPr>
          <w:p>
            <w:pPr>
              <w:spacing w:after="0" w:line="240" w:lineRule="auto"/>
              <w:jc w:val="right"/>
            </w:pPr>
            <w:r>
              <w:rPr>
                <w:rFonts w:ascii="Helvetica" w:hAnsi="Helvetica"/>
                <w:b w:val="0"/>
                <w:color w:val="2B2B2B"/>
                <w:sz w:val="19"/>
              </w:rPr>
              <w:t>17</w:t>
            </w:r>
          </w:p>
        </w:tc>
        <w:tc>
          <w:tcPr>
            <w:tcW w:type="dxa" w:w="4025"/>
            <w:vAlign w:val="center"/>
          </w:tcPr>
          <w:p>
            <w:pPr>
              <w:spacing w:after="0" w:line="240" w:lineRule="auto"/>
              <w:jc w:val="left"/>
            </w:pPr>
            <w:r>
              <w:rPr>
                <w:rFonts w:ascii="Helvetica" w:hAnsi="Helvetica"/>
                <w:b w:val="0"/>
                <w:color w:val="2B2B2B"/>
                <w:sz w:val="19"/>
              </w:rPr>
              <w:t>Bluewater Distribution Ltd.</w:t>
            </w:r>
          </w:p>
        </w:tc>
        <w:tc>
          <w:tcPr>
            <w:tcW w:type="dxa" w:w="2608"/>
            <w:vAlign w:val="center"/>
          </w:tcPr>
          <w:p>
            <w:pPr>
              <w:spacing w:after="0" w:line="240" w:lineRule="auto"/>
              <w:jc w:val="right"/>
            </w:pPr>
            <w:r>
              <w:rPr>
                <w:rFonts w:ascii="Helvetica" w:hAnsi="Helvetica"/>
                <w:b w:val="0"/>
                <w:color w:val="2B2B2B"/>
                <w:sz w:val="19"/>
              </w:rPr>
              <w:t>$33.188M</w:t>
            </w:r>
          </w:p>
        </w:tc>
        <w:tc>
          <w:tcPr>
            <w:tcW w:type="dxa" w:w="2268"/>
            <w:vAlign w:val="center"/>
          </w:tcPr>
          <w:p>
            <w:pPr>
              <w:spacing w:after="0" w:line="240" w:lineRule="auto"/>
              <w:jc w:val="right"/>
            </w:pPr>
            <w:r>
              <w:rPr>
                <w:rFonts w:ascii="Helvetica" w:hAnsi="Helvetica"/>
                <w:b w:val="0"/>
                <w:color w:val="2B2B2B"/>
                <w:sz w:val="19"/>
              </w:rPr>
              <w:t>0.48%</w:t>
            </w:r>
          </w:p>
        </w:tc>
      </w:tr>
      <w:tr>
        <w:tc>
          <w:tcPr>
            <w:tcW w:type="dxa" w:w="737"/>
            <w:shd w:val="clear" w:color="auto" w:fill="F2F4F5"/>
            <w:vAlign w:val="center"/>
          </w:tcPr>
          <w:p>
            <w:pPr>
              <w:spacing w:after="0" w:line="240" w:lineRule="auto"/>
              <w:jc w:val="right"/>
            </w:pPr>
            <w:r>
              <w:rPr>
                <w:rFonts w:ascii="Helvetica" w:hAnsi="Helvetica"/>
                <w:b w:val="0"/>
                <w:color w:val="2B2B2B"/>
                <w:sz w:val="19"/>
              </w:rPr>
              <w:t>18</w:t>
            </w:r>
          </w:p>
        </w:tc>
        <w:tc>
          <w:tcPr>
            <w:tcW w:type="dxa" w:w="4025"/>
            <w:shd w:val="clear" w:color="auto" w:fill="F2F4F5"/>
            <w:vAlign w:val="center"/>
          </w:tcPr>
          <w:p>
            <w:pPr>
              <w:spacing w:after="0" w:line="240" w:lineRule="auto"/>
              <w:jc w:val="left"/>
            </w:pPr>
            <w:r>
              <w:rPr>
                <w:rFonts w:ascii="Helvetica" w:hAnsi="Helvetica"/>
                <w:b w:val="0"/>
                <w:color w:val="2B2B2B"/>
                <w:sz w:val="19"/>
              </w:rPr>
              <w:t>Nimbus Distribution Corp.</w:t>
            </w:r>
          </w:p>
        </w:tc>
        <w:tc>
          <w:tcPr>
            <w:tcW w:type="dxa" w:w="2608"/>
            <w:shd w:val="clear" w:color="auto" w:fill="F2F4F5"/>
            <w:vAlign w:val="center"/>
          </w:tcPr>
          <w:p>
            <w:pPr>
              <w:spacing w:after="0" w:line="240" w:lineRule="auto"/>
              <w:jc w:val="right"/>
            </w:pPr>
            <w:r>
              <w:rPr>
                <w:rFonts w:ascii="Helvetica" w:hAnsi="Helvetica"/>
                <w:b w:val="0"/>
                <w:color w:val="2B2B2B"/>
                <w:sz w:val="19"/>
              </w:rPr>
              <w:t>$32.288M</w:t>
            </w:r>
          </w:p>
        </w:tc>
        <w:tc>
          <w:tcPr>
            <w:tcW w:type="dxa" w:w="2268"/>
            <w:shd w:val="clear" w:color="auto" w:fill="F2F4F5"/>
            <w:vAlign w:val="center"/>
          </w:tcPr>
          <w:p>
            <w:pPr>
              <w:spacing w:after="0" w:line="240" w:lineRule="auto"/>
              <w:jc w:val="right"/>
            </w:pPr>
            <w:r>
              <w:rPr>
                <w:rFonts w:ascii="Helvetica" w:hAnsi="Helvetica"/>
                <w:b w:val="0"/>
                <w:color w:val="2B2B2B"/>
                <w:sz w:val="19"/>
              </w:rPr>
              <w:t>0.47%</w:t>
            </w:r>
          </w:p>
        </w:tc>
      </w:tr>
      <w:tr>
        <w:tc>
          <w:tcPr>
            <w:tcW w:type="dxa" w:w="737"/>
            <w:vAlign w:val="center"/>
          </w:tcPr>
          <w:p>
            <w:pPr>
              <w:spacing w:after="0" w:line="240" w:lineRule="auto"/>
              <w:jc w:val="right"/>
            </w:pPr>
            <w:r>
              <w:rPr>
                <w:rFonts w:ascii="Helvetica" w:hAnsi="Helvetica"/>
                <w:b w:val="0"/>
                <w:color w:val="2B2B2B"/>
                <w:sz w:val="19"/>
              </w:rPr>
              <w:t>19</w:t>
            </w:r>
          </w:p>
        </w:tc>
        <w:tc>
          <w:tcPr>
            <w:tcW w:type="dxa" w:w="4025"/>
            <w:vAlign w:val="center"/>
          </w:tcPr>
          <w:p>
            <w:pPr>
              <w:spacing w:after="0" w:line="240" w:lineRule="auto"/>
              <w:jc w:val="left"/>
            </w:pPr>
            <w:r>
              <w:rPr>
                <w:rFonts w:ascii="Helvetica" w:hAnsi="Helvetica"/>
                <w:b w:val="0"/>
                <w:color w:val="2B2B2B"/>
                <w:sz w:val="19"/>
              </w:rPr>
              <w:t>Evergreen Trading Ltd.</w:t>
            </w:r>
          </w:p>
        </w:tc>
        <w:tc>
          <w:tcPr>
            <w:tcW w:type="dxa" w:w="2608"/>
            <w:vAlign w:val="center"/>
          </w:tcPr>
          <w:p>
            <w:pPr>
              <w:spacing w:after="0" w:line="240" w:lineRule="auto"/>
              <w:jc w:val="right"/>
            </w:pPr>
            <w:r>
              <w:rPr>
                <w:rFonts w:ascii="Helvetica" w:hAnsi="Helvetica"/>
                <w:b w:val="0"/>
                <w:color w:val="2B2B2B"/>
                <w:sz w:val="19"/>
              </w:rPr>
              <w:t>$31.942M</w:t>
            </w:r>
          </w:p>
        </w:tc>
        <w:tc>
          <w:tcPr>
            <w:tcW w:type="dxa" w:w="2268"/>
            <w:vAlign w:val="center"/>
          </w:tcPr>
          <w:p>
            <w:pPr>
              <w:spacing w:after="0" w:line="240" w:lineRule="auto"/>
              <w:jc w:val="right"/>
            </w:pPr>
            <w:r>
              <w:rPr>
                <w:rFonts w:ascii="Helvetica" w:hAnsi="Helvetica"/>
                <w:b w:val="0"/>
                <w:color w:val="2B2B2B"/>
                <w:sz w:val="19"/>
              </w:rPr>
              <w:t>0.46%</w:t>
            </w:r>
          </w:p>
        </w:tc>
      </w:tr>
      <w:tr>
        <w:tc>
          <w:tcPr>
            <w:tcW w:type="dxa" w:w="737"/>
            <w:shd w:val="clear" w:color="auto" w:fill="F2F4F5"/>
            <w:vAlign w:val="center"/>
          </w:tcPr>
          <w:p>
            <w:pPr>
              <w:spacing w:after="0" w:line="240" w:lineRule="auto"/>
              <w:jc w:val="right"/>
            </w:pPr>
            <w:r>
              <w:rPr>
                <w:rFonts w:ascii="Helvetica" w:hAnsi="Helvetica"/>
                <w:b w:val="0"/>
                <w:color w:val="2B2B2B"/>
                <w:sz w:val="19"/>
              </w:rPr>
              <w:t>20</w:t>
            </w:r>
          </w:p>
        </w:tc>
        <w:tc>
          <w:tcPr>
            <w:tcW w:type="dxa" w:w="4025"/>
            <w:shd w:val="clear" w:color="auto" w:fill="F2F4F5"/>
            <w:vAlign w:val="center"/>
          </w:tcPr>
          <w:p>
            <w:pPr>
              <w:spacing w:after="0" w:line="240" w:lineRule="auto"/>
              <w:jc w:val="left"/>
            </w:pPr>
            <w:r>
              <w:rPr>
                <w:rFonts w:ascii="Helvetica" w:hAnsi="Helvetica"/>
                <w:b w:val="0"/>
                <w:color w:val="2B2B2B"/>
                <w:sz w:val="19"/>
              </w:rPr>
              <w:t>Stonebridge Freight Ltd.</w:t>
            </w:r>
          </w:p>
        </w:tc>
        <w:tc>
          <w:tcPr>
            <w:tcW w:type="dxa" w:w="2608"/>
            <w:shd w:val="clear" w:color="auto" w:fill="F2F4F5"/>
            <w:vAlign w:val="center"/>
          </w:tcPr>
          <w:p>
            <w:pPr>
              <w:spacing w:after="0" w:line="240" w:lineRule="auto"/>
              <w:jc w:val="right"/>
            </w:pPr>
            <w:r>
              <w:rPr>
                <w:rFonts w:ascii="Helvetica" w:hAnsi="Helvetica"/>
                <w:b w:val="0"/>
                <w:color w:val="2B2B2B"/>
                <w:sz w:val="19"/>
              </w:rPr>
              <w:t>$31.445M</w:t>
            </w:r>
          </w:p>
        </w:tc>
        <w:tc>
          <w:tcPr>
            <w:tcW w:type="dxa" w:w="2268"/>
            <w:shd w:val="clear" w:color="auto" w:fill="F2F4F5"/>
            <w:vAlign w:val="center"/>
          </w:tcPr>
          <w:p>
            <w:pPr>
              <w:spacing w:after="0" w:line="240" w:lineRule="auto"/>
              <w:jc w:val="right"/>
            </w:pPr>
            <w:r>
              <w:rPr>
                <w:rFonts w:ascii="Helvetica" w:hAnsi="Helvetica"/>
                <w:b w:val="0"/>
                <w:color w:val="2B2B2B"/>
                <w:sz w:val="19"/>
              </w:rPr>
              <w:t>0.45%</w:t>
            </w:r>
          </w:p>
        </w:tc>
      </w:tr>
      <w:tr>
        <w:tc>
          <w:tcPr>
            <w:tcW w:type="dxa" w:w="737"/>
            <w:shd w:val="clear" w:color="auto" w:fill="F2F4F5"/>
            <w:vAlign w:val="center"/>
          </w:tcPr>
          <w:p>
            <w:pPr>
              <w:spacing w:after="0" w:line="240" w:lineRule="auto"/>
              <w:jc w:val="right"/>
            </w:pPr>
            <w:r>
              <w:rPr>
                <w:rFonts w:ascii="Helvetica" w:hAnsi="Helvetica"/>
                <w:b/>
                <w:color w:val="2B2B2B"/>
                <w:sz w:val="19"/>
              </w:rPr>
            </w:r>
          </w:p>
        </w:tc>
        <w:tc>
          <w:tcPr>
            <w:tcW w:type="dxa" w:w="4025"/>
            <w:shd w:val="clear" w:color="auto" w:fill="F2F4F5"/>
            <w:vAlign w:val="center"/>
          </w:tcPr>
          <w:p>
            <w:pPr>
              <w:spacing w:after="0" w:line="240" w:lineRule="auto"/>
              <w:jc w:val="left"/>
            </w:pPr>
            <w:r>
              <w:rPr>
                <w:rFonts w:ascii="Helvetica" w:hAnsi="Helvetica"/>
                <w:b/>
                <w:color w:val="2B2B2B"/>
                <w:sz w:val="19"/>
              </w:rPr>
              <w:t>Top 20 customers (total)</w:t>
            </w:r>
          </w:p>
        </w:tc>
        <w:tc>
          <w:tcPr>
            <w:tcW w:type="dxa" w:w="2608"/>
            <w:shd w:val="clear" w:color="auto" w:fill="F2F4F5"/>
            <w:vAlign w:val="center"/>
          </w:tcPr>
          <w:p>
            <w:pPr>
              <w:spacing w:after="0" w:line="240" w:lineRule="auto"/>
              <w:jc w:val="right"/>
            </w:pPr>
            <w:r>
              <w:rPr>
                <w:rFonts w:ascii="Helvetica" w:hAnsi="Helvetica"/>
                <w:b/>
                <w:color w:val="2B2B2B"/>
                <w:sz w:val="19"/>
              </w:rPr>
              <w:t>$9.24M</w:t>
            </w:r>
          </w:p>
        </w:tc>
        <w:tc>
          <w:tcPr>
            <w:tcW w:type="dxa" w:w="2268"/>
            <w:shd w:val="clear" w:color="auto" w:fill="F2F4F5"/>
            <w:vAlign w:val="center"/>
          </w:tcPr>
          <w:p>
            <w:pPr>
              <w:spacing w:after="0" w:line="240" w:lineRule="auto"/>
              <w:jc w:val="right"/>
            </w:pPr>
            <w:r>
              <w:rPr>
                <w:rFonts w:ascii="Helvetica" w:hAnsi="Helvetica"/>
                <w:b/>
                <w:color w:val="2B2B2B"/>
                <w:sz w:val="19"/>
              </w:rPr>
              <w:t>13.65%</w:t>
            </w:r>
          </w:p>
        </w:tc>
      </w:tr>
    </w:tbl>
    <w:p>
      <w:pPr>
        <w:pStyle w:val="Heading2"/>
      </w:pPr>
      <w:r>
        <w:t>Geographic performance</w:t>
      </w:r>
    </w:p>
    <w:p>
      <w:pPr>
        <w:spacing w:after="160" w:before="0"/>
        <w:jc w:val="both"/>
      </w:pPr>
      <w:r>
        <w:rPr>
          <w:color w:val="2B2B2B"/>
          <w:sz w:val="21"/>
        </w:rPr>
        <w:t>Canada is the anchor market at $48,209,042.23, or 69.7% of revenue on 4,474 orders. The United Arab Emirates is the second market at $11,726,342.95 (17.0%, 1,069 orders). The wider Gulf — Saudi Arabia (5.7%), Qatar (2.2%) and Oman (1.8%) — contributes 9.7% of revenue (computed), and the United States contributes 3.6%.</w:t>
      </w:r>
    </w:p>
    <w:tbl>
      <w:tblPr>
        <w:tblW w:type="dxa" w:w="9638"/>
        <w:tblLayout w:type="fixed"/>
        <w:tblLook w:firstColumn="1" w:firstRow="1" w:lastColumn="0" w:lastRow="0" w:noHBand="0" w:noVBand="1" w:val="04A0"/>
        <w:tblBorders>
          <w:top w:val="single" w:sz="4" w:space="0" w:color="F2F4F5"/>
          <w:left w:val="single" w:sz="4" w:space="0" w:color="F2F4F5"/>
          <w:bottom w:val="single" w:sz="4" w:space="0" w:color="F2F4F5"/>
          <w:right w:val="single" w:sz="4" w:space="0" w:color="F2F4F5"/>
          <w:insideH w:val="single" w:sz="4" w:space="0" w:color="F2F4F5"/>
          <w:insideV w:val="single" w:sz="4" w:space="0" w:color="F2F4F5"/>
        </w:tblBorders>
        <w:tblCellMar>
          <w:left w:w="110" w:type="dxa"/>
          <w:right w:w="110" w:type="dxa"/>
          <w:top w:w="40" w:type="dxa"/>
          <w:bottom w:w="40" w:type="dxa"/>
        </w:tblCellMar>
      </w:tblPr>
      <w:tblGrid>
        <w:gridCol w:w="3175"/>
        <w:gridCol w:w="2494"/>
        <w:gridCol w:w="2268"/>
        <w:gridCol w:w="1701"/>
      </w:tblGrid>
      <w:tr>
        <w:tc>
          <w:tcPr>
            <w:tcW w:type="dxa" w:w="3175"/>
            <w:vAlign w:val="center"/>
            <w:shd w:val="clear" w:color="auto" w:fill="0B3C5D"/>
          </w:tcPr>
          <w:p>
            <w:pPr>
              <w:spacing w:after="0" w:line="240" w:lineRule="auto"/>
              <w:jc w:val="left"/>
            </w:pPr>
            <w:r>
              <w:rPr>
                <w:rFonts w:ascii="Helvetica" w:hAnsi="Helvetica"/>
                <w:b/>
                <w:color w:val="FFFFFF"/>
                <w:sz w:val="21"/>
              </w:rPr>
              <w:t>Market</w:t>
            </w:r>
          </w:p>
        </w:tc>
        <w:tc>
          <w:tcPr>
            <w:tcW w:type="dxa" w:w="2494"/>
            <w:vAlign w:val="center"/>
            <w:shd w:val="clear" w:color="auto" w:fill="0B3C5D"/>
          </w:tcPr>
          <w:p>
            <w:pPr>
              <w:spacing w:after="0" w:line="240" w:lineRule="auto"/>
              <w:jc w:val="right"/>
            </w:pPr>
            <w:r>
              <w:rPr>
                <w:rFonts w:ascii="Helvetica" w:hAnsi="Helvetica"/>
                <w:b/>
                <w:color w:val="FFFFFF"/>
                <w:sz w:val="21"/>
              </w:rPr>
              <w:t>FY2025 revenue</w:t>
            </w:r>
          </w:p>
        </w:tc>
        <w:tc>
          <w:tcPr>
            <w:tcW w:type="dxa" w:w="2268"/>
            <w:vAlign w:val="center"/>
            <w:shd w:val="clear" w:color="auto" w:fill="0B3C5D"/>
          </w:tcPr>
          <w:p>
            <w:pPr>
              <w:spacing w:after="0" w:line="240" w:lineRule="auto"/>
              <w:jc w:val="right"/>
            </w:pPr>
            <w:r>
              <w:rPr>
                <w:rFonts w:ascii="Helvetica" w:hAnsi="Helvetica"/>
                <w:b/>
                <w:color w:val="FFFFFF"/>
                <w:sz w:val="21"/>
              </w:rPr>
              <w:t>Share of revenue</w:t>
            </w:r>
          </w:p>
        </w:tc>
        <w:tc>
          <w:tcPr>
            <w:tcW w:type="dxa" w:w="1701"/>
            <w:vAlign w:val="center"/>
            <w:shd w:val="clear" w:color="auto" w:fill="0B3C5D"/>
          </w:tcPr>
          <w:p>
            <w:pPr>
              <w:spacing w:after="0" w:line="240" w:lineRule="auto"/>
              <w:jc w:val="right"/>
            </w:pPr>
            <w:r>
              <w:rPr>
                <w:rFonts w:ascii="Helvetica" w:hAnsi="Helvetica"/>
                <w:b/>
                <w:color w:val="FFFFFF"/>
                <w:sz w:val="21"/>
              </w:rPr>
              <w:t>Orders</w:t>
            </w:r>
          </w:p>
        </w:tc>
      </w:tr>
      <w:tr>
        <w:tc>
          <w:tcPr>
            <w:tcW w:type="dxa" w:w="3175"/>
            <w:vAlign w:val="center"/>
          </w:tcPr>
          <w:p>
            <w:pPr>
              <w:spacing w:after="0" w:line="240" w:lineRule="auto"/>
              <w:jc w:val="left"/>
            </w:pPr>
            <w:r>
              <w:rPr>
                <w:rFonts w:ascii="Helvetica" w:hAnsi="Helvetica"/>
                <w:b w:val="0"/>
                <w:color w:val="2B2B2B"/>
                <w:sz w:val="21"/>
              </w:rPr>
              <w:t>Canada</w:t>
            </w:r>
          </w:p>
        </w:tc>
        <w:tc>
          <w:tcPr>
            <w:tcW w:type="dxa" w:w="2494"/>
            <w:vAlign w:val="center"/>
          </w:tcPr>
          <w:p>
            <w:pPr>
              <w:spacing w:after="0" w:line="240" w:lineRule="auto"/>
              <w:jc w:val="right"/>
            </w:pPr>
            <w:r>
              <w:rPr>
                <w:rFonts w:ascii="Helvetica" w:hAnsi="Helvetica"/>
                <w:b w:val="0"/>
                <w:color w:val="2B2B2B"/>
                <w:sz w:val="21"/>
              </w:rPr>
              <w:t>$4820.90M</w:t>
            </w:r>
          </w:p>
        </w:tc>
        <w:tc>
          <w:tcPr>
            <w:tcW w:type="dxa" w:w="2268"/>
            <w:vAlign w:val="center"/>
          </w:tcPr>
          <w:p>
            <w:pPr>
              <w:spacing w:after="0" w:line="240" w:lineRule="auto"/>
              <w:jc w:val="right"/>
            </w:pPr>
            <w:r>
              <w:rPr>
                <w:rFonts w:ascii="Helvetica" w:hAnsi="Helvetica"/>
                <w:b w:val="0"/>
                <w:color w:val="2B2B2B"/>
                <w:sz w:val="21"/>
              </w:rPr>
              <w:t>69.7%</w:t>
            </w:r>
          </w:p>
        </w:tc>
        <w:tc>
          <w:tcPr>
            <w:tcW w:type="dxa" w:w="1701"/>
            <w:vAlign w:val="center"/>
          </w:tcPr>
          <w:p>
            <w:pPr>
              <w:spacing w:after="0" w:line="240" w:lineRule="auto"/>
              <w:jc w:val="right"/>
            </w:pPr>
            <w:r>
              <w:rPr>
                <w:rFonts w:ascii="Helvetica" w:hAnsi="Helvetica"/>
                <w:b w:val="0"/>
                <w:color w:val="2B2B2B"/>
                <w:sz w:val="21"/>
              </w:rPr>
              <w:t>4,474</w:t>
            </w:r>
          </w:p>
        </w:tc>
      </w:tr>
      <w:tr>
        <w:tc>
          <w:tcPr>
            <w:tcW w:type="dxa" w:w="3175"/>
            <w:shd w:val="clear" w:color="auto" w:fill="F2F4F5"/>
            <w:vAlign w:val="center"/>
          </w:tcPr>
          <w:p>
            <w:pPr>
              <w:spacing w:after="0" w:line="240" w:lineRule="auto"/>
              <w:jc w:val="left"/>
            </w:pPr>
            <w:r>
              <w:rPr>
                <w:rFonts w:ascii="Helvetica" w:hAnsi="Helvetica"/>
                <w:b w:val="0"/>
                <w:color w:val="2B2B2B"/>
                <w:sz w:val="21"/>
              </w:rPr>
              <w:t>United Arab Emirates</w:t>
            </w:r>
          </w:p>
        </w:tc>
        <w:tc>
          <w:tcPr>
            <w:tcW w:type="dxa" w:w="2494"/>
            <w:shd w:val="clear" w:color="auto" w:fill="F2F4F5"/>
            <w:vAlign w:val="center"/>
          </w:tcPr>
          <w:p>
            <w:pPr>
              <w:spacing w:after="0" w:line="240" w:lineRule="auto"/>
              <w:jc w:val="right"/>
            </w:pPr>
            <w:r>
              <w:rPr>
                <w:rFonts w:ascii="Helvetica" w:hAnsi="Helvetica"/>
                <w:b w:val="0"/>
                <w:color w:val="2B2B2B"/>
                <w:sz w:val="21"/>
              </w:rPr>
              <w:t>$1172.63M</w:t>
            </w:r>
          </w:p>
        </w:tc>
        <w:tc>
          <w:tcPr>
            <w:tcW w:type="dxa" w:w="2268"/>
            <w:shd w:val="clear" w:color="auto" w:fill="F2F4F5"/>
            <w:vAlign w:val="center"/>
          </w:tcPr>
          <w:p>
            <w:pPr>
              <w:spacing w:after="0" w:line="240" w:lineRule="auto"/>
              <w:jc w:val="right"/>
            </w:pPr>
            <w:r>
              <w:rPr>
                <w:rFonts w:ascii="Helvetica" w:hAnsi="Helvetica"/>
                <w:b w:val="0"/>
                <w:color w:val="2B2B2B"/>
                <w:sz w:val="21"/>
              </w:rPr>
              <w:t>17.0%</w:t>
            </w:r>
          </w:p>
        </w:tc>
        <w:tc>
          <w:tcPr>
            <w:tcW w:type="dxa" w:w="1701"/>
            <w:shd w:val="clear" w:color="auto" w:fill="F2F4F5"/>
            <w:vAlign w:val="center"/>
          </w:tcPr>
          <w:p>
            <w:pPr>
              <w:spacing w:after="0" w:line="240" w:lineRule="auto"/>
              <w:jc w:val="right"/>
            </w:pPr>
            <w:r>
              <w:rPr>
                <w:rFonts w:ascii="Helvetica" w:hAnsi="Helvetica"/>
                <w:b w:val="0"/>
                <w:color w:val="2B2B2B"/>
                <w:sz w:val="21"/>
              </w:rPr>
              <w:t>1,069</w:t>
            </w:r>
          </w:p>
        </w:tc>
      </w:tr>
      <w:tr>
        <w:tc>
          <w:tcPr>
            <w:tcW w:type="dxa" w:w="3175"/>
            <w:vAlign w:val="center"/>
          </w:tcPr>
          <w:p>
            <w:pPr>
              <w:spacing w:after="0" w:line="240" w:lineRule="auto"/>
              <w:jc w:val="left"/>
            </w:pPr>
            <w:r>
              <w:rPr>
                <w:rFonts w:ascii="Helvetica" w:hAnsi="Helvetica"/>
                <w:b w:val="0"/>
                <w:color w:val="2B2B2B"/>
                <w:sz w:val="21"/>
              </w:rPr>
              <w:t>Saudi Arabia</w:t>
            </w:r>
          </w:p>
        </w:tc>
        <w:tc>
          <w:tcPr>
            <w:tcW w:type="dxa" w:w="2494"/>
            <w:vAlign w:val="center"/>
          </w:tcPr>
          <w:p>
            <w:pPr>
              <w:spacing w:after="0" w:line="240" w:lineRule="auto"/>
              <w:jc w:val="right"/>
            </w:pPr>
            <w:r>
              <w:rPr>
                <w:rFonts w:ascii="Helvetica" w:hAnsi="Helvetica"/>
                <w:b w:val="0"/>
                <w:color w:val="2B2B2B"/>
                <w:sz w:val="21"/>
              </w:rPr>
              <w:t>$396.19M</w:t>
            </w:r>
          </w:p>
        </w:tc>
        <w:tc>
          <w:tcPr>
            <w:tcW w:type="dxa" w:w="2268"/>
            <w:vAlign w:val="center"/>
          </w:tcPr>
          <w:p>
            <w:pPr>
              <w:spacing w:after="0" w:line="240" w:lineRule="auto"/>
              <w:jc w:val="right"/>
            </w:pPr>
            <w:r>
              <w:rPr>
                <w:rFonts w:ascii="Helvetica" w:hAnsi="Helvetica"/>
                <w:b w:val="0"/>
                <w:color w:val="2B2B2B"/>
                <w:sz w:val="21"/>
              </w:rPr>
              <w:t>5.7%</w:t>
            </w:r>
          </w:p>
        </w:tc>
        <w:tc>
          <w:tcPr>
            <w:tcW w:type="dxa" w:w="1701"/>
            <w:vAlign w:val="center"/>
          </w:tcPr>
          <w:p>
            <w:pPr>
              <w:spacing w:after="0" w:line="240" w:lineRule="auto"/>
              <w:jc w:val="right"/>
            </w:pPr>
            <w:r>
              <w:rPr>
                <w:rFonts w:ascii="Helvetica" w:hAnsi="Helvetica"/>
                <w:b w:val="0"/>
                <w:color w:val="2B2B2B"/>
                <w:sz w:val="21"/>
              </w:rPr>
              <w:t>401</w:t>
            </w:r>
          </w:p>
        </w:tc>
      </w:tr>
      <w:tr>
        <w:tc>
          <w:tcPr>
            <w:tcW w:type="dxa" w:w="3175"/>
            <w:shd w:val="clear" w:color="auto" w:fill="F2F4F5"/>
            <w:vAlign w:val="center"/>
          </w:tcPr>
          <w:p>
            <w:pPr>
              <w:spacing w:after="0" w:line="240" w:lineRule="auto"/>
              <w:jc w:val="left"/>
            </w:pPr>
            <w:r>
              <w:rPr>
                <w:rFonts w:ascii="Helvetica" w:hAnsi="Helvetica"/>
                <w:b w:val="0"/>
                <w:color w:val="2B2B2B"/>
                <w:sz w:val="21"/>
              </w:rPr>
              <w:t>United States</w:t>
            </w:r>
          </w:p>
        </w:tc>
        <w:tc>
          <w:tcPr>
            <w:tcW w:type="dxa" w:w="2494"/>
            <w:shd w:val="clear" w:color="auto" w:fill="F2F4F5"/>
            <w:vAlign w:val="center"/>
          </w:tcPr>
          <w:p>
            <w:pPr>
              <w:spacing w:after="0" w:line="240" w:lineRule="auto"/>
              <w:jc w:val="right"/>
            </w:pPr>
            <w:r>
              <w:rPr>
                <w:rFonts w:ascii="Helvetica" w:hAnsi="Helvetica"/>
                <w:b w:val="0"/>
                <w:color w:val="2B2B2B"/>
                <w:sz w:val="21"/>
              </w:rPr>
              <w:t>$249.20M</w:t>
            </w:r>
          </w:p>
        </w:tc>
        <w:tc>
          <w:tcPr>
            <w:tcW w:type="dxa" w:w="2268"/>
            <w:shd w:val="clear" w:color="auto" w:fill="F2F4F5"/>
            <w:vAlign w:val="center"/>
          </w:tcPr>
          <w:p>
            <w:pPr>
              <w:spacing w:after="0" w:line="240" w:lineRule="auto"/>
              <w:jc w:val="right"/>
            </w:pPr>
            <w:r>
              <w:rPr>
                <w:rFonts w:ascii="Helvetica" w:hAnsi="Helvetica"/>
                <w:b w:val="0"/>
                <w:color w:val="2B2B2B"/>
                <w:sz w:val="21"/>
              </w:rPr>
              <w:t>3.6%</w:t>
            </w:r>
          </w:p>
        </w:tc>
        <w:tc>
          <w:tcPr>
            <w:tcW w:type="dxa" w:w="1701"/>
            <w:shd w:val="clear" w:color="auto" w:fill="F2F4F5"/>
            <w:vAlign w:val="center"/>
          </w:tcPr>
          <w:p>
            <w:pPr>
              <w:spacing w:after="0" w:line="240" w:lineRule="auto"/>
              <w:jc w:val="right"/>
            </w:pPr>
            <w:r>
              <w:rPr>
                <w:rFonts w:ascii="Helvetica" w:hAnsi="Helvetica"/>
                <w:b w:val="0"/>
                <w:color w:val="2B2B2B"/>
                <w:sz w:val="21"/>
              </w:rPr>
              <w:t>178</w:t>
            </w:r>
          </w:p>
        </w:tc>
      </w:tr>
      <w:tr>
        <w:tc>
          <w:tcPr>
            <w:tcW w:type="dxa" w:w="3175"/>
            <w:vAlign w:val="center"/>
          </w:tcPr>
          <w:p>
            <w:pPr>
              <w:spacing w:after="0" w:line="240" w:lineRule="auto"/>
              <w:jc w:val="left"/>
            </w:pPr>
            <w:r>
              <w:rPr>
                <w:rFonts w:ascii="Helvetica" w:hAnsi="Helvetica"/>
                <w:b w:val="0"/>
                <w:color w:val="2B2B2B"/>
                <w:sz w:val="21"/>
              </w:rPr>
              <w:t>Qatar</w:t>
            </w:r>
          </w:p>
        </w:tc>
        <w:tc>
          <w:tcPr>
            <w:tcW w:type="dxa" w:w="2494"/>
            <w:vAlign w:val="center"/>
          </w:tcPr>
          <w:p>
            <w:pPr>
              <w:spacing w:after="0" w:line="240" w:lineRule="auto"/>
              <w:jc w:val="right"/>
            </w:pPr>
            <w:r>
              <w:rPr>
                <w:rFonts w:ascii="Helvetica" w:hAnsi="Helvetica"/>
                <w:b w:val="0"/>
                <w:color w:val="2B2B2B"/>
                <w:sz w:val="21"/>
              </w:rPr>
              <w:t>$150.45M</w:t>
            </w:r>
          </w:p>
        </w:tc>
        <w:tc>
          <w:tcPr>
            <w:tcW w:type="dxa" w:w="2268"/>
            <w:vAlign w:val="center"/>
          </w:tcPr>
          <w:p>
            <w:pPr>
              <w:spacing w:after="0" w:line="240" w:lineRule="auto"/>
              <w:jc w:val="right"/>
            </w:pPr>
            <w:r>
              <w:rPr>
                <w:rFonts w:ascii="Helvetica" w:hAnsi="Helvetica"/>
                <w:b w:val="0"/>
                <w:color w:val="2B2B2B"/>
                <w:sz w:val="21"/>
              </w:rPr>
              <w:t>2.2%</w:t>
            </w:r>
          </w:p>
        </w:tc>
        <w:tc>
          <w:tcPr>
            <w:tcW w:type="dxa" w:w="1701"/>
            <w:vAlign w:val="center"/>
          </w:tcPr>
          <w:p>
            <w:pPr>
              <w:spacing w:after="0" w:line="240" w:lineRule="auto"/>
              <w:jc w:val="right"/>
            </w:pPr>
            <w:r>
              <w:rPr>
                <w:rFonts w:ascii="Helvetica" w:hAnsi="Helvetica"/>
                <w:b w:val="0"/>
                <w:color w:val="2B2B2B"/>
                <w:sz w:val="21"/>
              </w:rPr>
              <w:t>114</w:t>
            </w:r>
          </w:p>
        </w:tc>
      </w:tr>
      <w:tr>
        <w:tc>
          <w:tcPr>
            <w:tcW w:type="dxa" w:w="3175"/>
            <w:shd w:val="clear" w:color="auto" w:fill="F2F4F5"/>
            <w:vAlign w:val="center"/>
          </w:tcPr>
          <w:p>
            <w:pPr>
              <w:spacing w:after="0" w:line="240" w:lineRule="auto"/>
              <w:jc w:val="left"/>
            </w:pPr>
            <w:r>
              <w:rPr>
                <w:rFonts w:ascii="Helvetica" w:hAnsi="Helvetica"/>
                <w:b w:val="0"/>
                <w:color w:val="2B2B2B"/>
                <w:sz w:val="21"/>
              </w:rPr>
              <w:t>Oman</w:t>
            </w:r>
          </w:p>
        </w:tc>
        <w:tc>
          <w:tcPr>
            <w:tcW w:type="dxa" w:w="2494"/>
            <w:shd w:val="clear" w:color="auto" w:fill="F2F4F5"/>
            <w:vAlign w:val="center"/>
          </w:tcPr>
          <w:p>
            <w:pPr>
              <w:spacing w:after="0" w:line="240" w:lineRule="auto"/>
              <w:jc w:val="right"/>
            </w:pPr>
            <w:r>
              <w:rPr>
                <w:rFonts w:ascii="Helvetica" w:hAnsi="Helvetica"/>
                <w:b w:val="0"/>
                <w:color w:val="2B2B2B"/>
                <w:sz w:val="21"/>
              </w:rPr>
              <w:t>$125.27M</w:t>
            </w:r>
          </w:p>
        </w:tc>
        <w:tc>
          <w:tcPr>
            <w:tcW w:type="dxa" w:w="2268"/>
            <w:shd w:val="clear" w:color="auto" w:fill="F2F4F5"/>
            <w:vAlign w:val="center"/>
          </w:tcPr>
          <w:p>
            <w:pPr>
              <w:spacing w:after="0" w:line="240" w:lineRule="auto"/>
              <w:jc w:val="right"/>
            </w:pPr>
            <w:r>
              <w:rPr>
                <w:rFonts w:ascii="Helvetica" w:hAnsi="Helvetica"/>
                <w:b w:val="0"/>
                <w:color w:val="2B2B2B"/>
                <w:sz w:val="21"/>
              </w:rPr>
              <w:t>1.8%</w:t>
            </w:r>
          </w:p>
        </w:tc>
        <w:tc>
          <w:tcPr>
            <w:tcW w:type="dxa" w:w="1701"/>
            <w:shd w:val="clear" w:color="auto" w:fill="F2F4F5"/>
            <w:vAlign w:val="center"/>
          </w:tcPr>
          <w:p>
            <w:pPr>
              <w:spacing w:after="0" w:line="240" w:lineRule="auto"/>
              <w:jc w:val="right"/>
            </w:pPr>
            <w:r>
              <w:rPr>
                <w:rFonts w:ascii="Helvetica" w:hAnsi="Helvetica"/>
                <w:b w:val="0"/>
                <w:color w:val="2B2B2B"/>
                <w:sz w:val="21"/>
              </w:rPr>
              <w:t>122</w:t>
            </w:r>
          </w:p>
        </w:tc>
      </w:tr>
      <w:tr>
        <w:tc>
          <w:tcPr>
            <w:tcW w:type="dxa" w:w="3175"/>
            <w:shd w:val="clear" w:color="auto" w:fill="F2F4F5"/>
            <w:vAlign w:val="center"/>
          </w:tcPr>
          <w:p>
            <w:pPr>
              <w:spacing w:after="0" w:line="240" w:lineRule="auto"/>
              <w:jc w:val="left"/>
            </w:pPr>
            <w:r>
              <w:rPr>
                <w:rFonts w:ascii="Helvetica" w:hAnsi="Helvetica"/>
                <w:b/>
                <w:color w:val="2B2B2B"/>
                <w:sz w:val="21"/>
              </w:rPr>
              <w:t>Total</w:t>
            </w:r>
          </w:p>
        </w:tc>
        <w:tc>
          <w:tcPr>
            <w:tcW w:type="dxa" w:w="2494"/>
            <w:shd w:val="clear" w:color="auto" w:fill="F2F4F5"/>
            <w:vAlign w:val="center"/>
          </w:tcPr>
          <w:p>
            <w:pPr>
              <w:spacing w:after="0" w:line="240" w:lineRule="auto"/>
              <w:jc w:val="right"/>
            </w:pPr>
            <w:r>
              <w:rPr>
                <w:rFonts w:ascii="Helvetica" w:hAnsi="Helvetica"/>
                <w:b/>
                <w:color w:val="2B2B2B"/>
                <w:sz w:val="21"/>
              </w:rPr>
              <w:t>$69.15M</w:t>
            </w:r>
          </w:p>
        </w:tc>
        <w:tc>
          <w:tcPr>
            <w:tcW w:type="dxa" w:w="2268"/>
            <w:shd w:val="clear" w:color="auto" w:fill="F2F4F5"/>
            <w:vAlign w:val="center"/>
          </w:tcPr>
          <w:p>
            <w:pPr>
              <w:spacing w:after="0" w:line="240" w:lineRule="auto"/>
              <w:jc w:val="right"/>
            </w:pPr>
            <w:r>
              <w:rPr>
                <w:rFonts w:ascii="Helvetica" w:hAnsi="Helvetica"/>
                <w:b/>
                <w:color w:val="2B2B2B"/>
                <w:sz w:val="21"/>
              </w:rPr>
              <w:t>100.0%</w:t>
            </w:r>
          </w:p>
        </w:tc>
        <w:tc>
          <w:tcPr>
            <w:tcW w:type="dxa" w:w="1701"/>
            <w:shd w:val="clear" w:color="auto" w:fill="F2F4F5"/>
            <w:vAlign w:val="center"/>
          </w:tcPr>
          <w:p>
            <w:pPr>
              <w:spacing w:after="0" w:line="240" w:lineRule="auto"/>
              <w:jc w:val="right"/>
            </w:pPr>
            <w:r>
              <w:rPr>
                <w:rFonts w:ascii="Helvetica" w:hAnsi="Helvetica"/>
                <w:b/>
                <w:color w:val="2B2B2B"/>
                <w:sz w:val="21"/>
              </w:rPr>
              <w:t>6,358</w:t>
            </w:r>
          </w:p>
        </w:tc>
      </w:tr>
    </w:tbl>
    <w:p>
      <w:pPr>
        <w:spacing w:before="80" w:after="40"/>
        <w:jc w:val="center"/>
      </w:pPr>
      <w:r>
        <w:drawing>
          <wp:inline xmlns:a="http://schemas.openxmlformats.org/drawingml/2006/main" xmlns:pic="http://schemas.openxmlformats.org/drawingml/2006/picture">
            <wp:extent cx="5616000" cy="2246400"/>
            <wp:docPr id="4" name="Picture 4"/>
            <wp:cNvGraphicFramePr>
              <a:graphicFrameLocks noChangeAspect="1"/>
            </wp:cNvGraphicFramePr>
            <a:graphic>
              <a:graphicData uri="http://schemas.openxmlformats.org/drawingml/2006/picture">
                <pic:pic>
                  <pic:nvPicPr>
                    <pic:cNvPr id="0" name="chart_countries.png"/>
                    <pic:cNvPicPr/>
                  </pic:nvPicPr>
                  <pic:blipFill>
                    <a:blip r:embed="rId16"/>
                    <a:stretch>
                      <a:fillRect/>
                    </a:stretch>
                  </pic:blipFill>
                  <pic:spPr>
                    <a:xfrm>
                      <a:off x="0" y="0"/>
                      <a:ext cx="5616000" cy="2246400"/>
                    </a:xfrm>
                    <a:prstGeom prst="rect"/>
                  </pic:spPr>
                </pic:pic>
              </a:graphicData>
            </a:graphic>
          </wp:inline>
        </w:drawing>
      </w:r>
    </w:p>
    <w:p>
      <w:pPr>
        <w:spacing w:after="160"/>
        <w:jc w:val="center"/>
      </w:pPr>
      <w:r>
        <w:rPr>
          <w:color w:val="2B2B2B"/>
          <w:sz w:val="20"/>
        </w:rPr>
        <w:t>Figure 4  —  Revenue by country, FY2025, share of revenue.</w:t>
      </w:r>
    </w:p>
    <w:p>
      <w:r>
        <w:br w:type="page"/>
      </w:r>
      <w:pPr>
        <w:pStyle w:val="Heading1"/>
        <w:pBdr>
          <w:bottom w:val="single" w:sz="8" w:space="4" w:color="C9A227"/>
        </w:pBdr>
      </w:pPr>
      <w:r>
        <w:t>5.  Risk factors</w:t>
      </w:r>
    </w:p>
    <w:p>
      <w:pPr>
        <w:spacing w:after="160" w:before="0"/>
        <w:jc w:val="both"/>
      </w:pPr>
      <w:r>
        <w:rPr>
          <w:color w:val="2B2B2B"/>
          <w:sz w:val="21"/>
        </w:rPr>
        <w:t>In the interest of candour, we set out below the concentration risks that an investor should understand about Acme Co. These are the two principal risks of the business, stated plainly, together with one additional consideration.</w:t>
      </w:r>
    </w:p>
    <w:tbl>
      <w:tblPr>
        <w:tblW w:type="dxa" w:w="9638"/>
        <w:tblLayout w:type="fixed"/>
        <w:tblLook w:firstColumn="1" w:firstRow="1" w:lastColumn="0" w:lastRow="0" w:noHBand="0" w:noVBand="1" w:val="04A0"/>
        <w:tblCellMar>
          <w:left w:w="110" w:type="dxa"/>
          <w:right w:w="110" w:type="dxa"/>
          <w:top w:w="40" w:type="dxa"/>
          <w:bottom w:w="40" w:type="dxa"/>
        </w:tblCellMar>
        <w:tblBorders>
          <w:left w:val="single" w:sz="24" w:space="0" w:color="A63D40"/>
          <w:top w:val="single" w:sz="4" w:space="0" w:color="F2F4F5"/>
          <w:bottom w:val="single" w:sz="4" w:space="0" w:color="F2F4F5"/>
          <w:right w:val="single" w:sz="4" w:space="0" w:color="F2F4F5"/>
        </w:tblBorders>
      </w:tblPr>
      <w:tblGrid>
        <w:gridCol w:w="9638"/>
      </w:tblGrid>
      <w:tr>
        <w:tc>
          <w:tcPr>
            <w:tcW w:type="dxa" w:w="9638"/>
            <w:shd w:val="clear" w:color="auto" w:fill="F2F4F5"/>
          </w:tcPr>
          <w:p>
            <w:pPr>
              <w:spacing w:after="80"/>
            </w:pPr>
            <w:r>
              <w:rPr>
                <w:b/>
                <w:color w:val="A63D40"/>
                <w:sz w:val="22"/>
              </w:rPr>
              <w:t>Category concentration — Material Handling is 56.0% of revenue.</w:t>
            </w:r>
          </w:p>
          <w:p>
            <w:pPr>
              <w:spacing w:after="0"/>
              <w:jc w:val="both"/>
            </w:pPr>
            <w:r>
              <w:rPr>
                <w:color w:val="2B2B2B"/>
                <w:sz w:val="21"/>
              </w:rPr>
              <w:t>More than half of Acme Co’s revenue comes from a single category. A demand softness, a pricing squeeze, or a shift in how customers source material-handling equipment would flow through to the top line disproportionately. The remaining 44.0% of revenue (computed) is spread across nine other categories, which provides some cushion but does not remove the exposure. Reducing this share over time is a stated FY2026 priority.</w:t>
            </w:r>
          </w:p>
        </w:tc>
      </w:tr>
    </w:tbl>
    <w:p>
      <w:pPr>
        <w:spacing w:after="40"/>
      </w:pPr>
    </w:p>
    <w:tbl>
      <w:tblPr>
        <w:tblW w:type="dxa" w:w="9638"/>
        <w:tblLayout w:type="fixed"/>
        <w:tblLook w:firstColumn="1" w:firstRow="1" w:lastColumn="0" w:lastRow="0" w:noHBand="0" w:noVBand="1" w:val="04A0"/>
        <w:tblCellMar>
          <w:left w:w="110" w:type="dxa"/>
          <w:right w:w="110" w:type="dxa"/>
          <w:top w:w="40" w:type="dxa"/>
          <w:bottom w:w="40" w:type="dxa"/>
        </w:tblCellMar>
        <w:tblBorders>
          <w:left w:val="single" w:sz="24" w:space="0" w:color="A63D40"/>
          <w:top w:val="single" w:sz="4" w:space="0" w:color="F2F4F5"/>
          <w:bottom w:val="single" w:sz="4" w:space="0" w:color="F2F4F5"/>
          <w:right w:val="single" w:sz="4" w:space="0" w:color="F2F4F5"/>
        </w:tblBorders>
      </w:tblPr>
      <w:tblGrid>
        <w:gridCol w:w="9638"/>
      </w:tblGrid>
      <w:tr>
        <w:tc>
          <w:tcPr>
            <w:tcW w:type="dxa" w:w="9638"/>
            <w:shd w:val="clear" w:color="auto" w:fill="F2F4F5"/>
          </w:tcPr>
          <w:p>
            <w:pPr>
              <w:spacing w:after="80"/>
            </w:pPr>
            <w:r>
              <w:rPr>
                <w:b/>
                <w:color w:val="A63D40"/>
                <w:sz w:val="22"/>
              </w:rPr>
              <w:t>Customer concentration — the top 20 customers are 13.65% of revenue.</w:t>
            </w:r>
          </w:p>
          <w:p>
            <w:pPr>
              <w:spacing w:after="0"/>
              <w:jc w:val="both"/>
            </w:pPr>
            <w:r>
              <w:rPr>
                <w:color w:val="2B2B2B"/>
                <w:sz w:val="21"/>
              </w:rPr>
              <w:t>Our twenty largest customers together represent 13.65% of FY2025 revenue, with the largest relationship at 1.34%. While no single customer is material, the loss of — or a material reduction in purchasing by — a small number of these accounts would be visible in annual results. We manage this through active account review and through the FY2026 plan to broaden the customer base beyond the top 20.</w:t>
            </w:r>
          </w:p>
        </w:tc>
      </w:tr>
    </w:tbl>
    <w:p>
      <w:pPr>
        <w:spacing w:after="40"/>
      </w:pPr>
    </w:p>
    <w:tbl>
      <w:tblPr>
        <w:tblW w:type="dxa" w:w="9638"/>
        <w:tblLayout w:type="fixed"/>
        <w:tblLook w:firstColumn="1" w:firstRow="1" w:lastColumn="0" w:lastRow="0" w:noHBand="0" w:noVBand="1" w:val="04A0"/>
        <w:tblCellMar>
          <w:left w:w="110" w:type="dxa"/>
          <w:right w:w="110" w:type="dxa"/>
          <w:top w:w="40" w:type="dxa"/>
          <w:bottom w:w="40" w:type="dxa"/>
        </w:tblCellMar>
        <w:tblBorders>
          <w:left w:val="single" w:sz="24" w:space="0" w:color="A63D40"/>
          <w:top w:val="single" w:sz="4" w:space="0" w:color="F2F4F5"/>
          <w:bottom w:val="single" w:sz="4" w:space="0" w:color="F2F4F5"/>
          <w:right w:val="single" w:sz="4" w:space="0" w:color="F2F4F5"/>
        </w:tblBorders>
      </w:tblPr>
      <w:tblGrid>
        <w:gridCol w:w="9638"/>
      </w:tblGrid>
      <w:tr>
        <w:tc>
          <w:tcPr>
            <w:tcW w:type="dxa" w:w="9638"/>
            <w:shd w:val="clear" w:color="auto" w:fill="F2F4F5"/>
          </w:tcPr>
          <w:p>
            <w:pPr>
              <w:spacing w:after="80"/>
            </w:pPr>
            <w:r>
              <w:rPr>
                <w:b/>
                <w:color w:val="A63D40"/>
                <w:sz w:val="22"/>
              </w:rPr>
              <w:t>Additional consideration — geographic concentration.</w:t>
            </w:r>
          </w:p>
          <w:p>
            <w:pPr>
              <w:spacing w:after="0"/>
              <w:jc w:val="both"/>
            </w:pPr>
            <w:r>
              <w:rPr>
                <w:color w:val="2B2B2B"/>
                <w:sz w:val="21"/>
              </w:rPr>
              <w:t>Canada represents 69.7% of revenue and the Gulf region a further 26.7% (computed). A demand, currency, or trade shock concentrated in one of these two regions would therefore affect a meaningful share of the group, even though the customer base itself is diversified.</w:t>
            </w:r>
          </w:p>
        </w:tc>
      </w:tr>
    </w:tbl>
    <w:p>
      <w:pPr>
        <w:spacing w:after="40"/>
      </w:pPr>
    </w:p>
    <w:p>
      <w:pPr>
        <w:spacing w:after="160" w:before="0"/>
        <w:jc w:val="both"/>
      </w:pPr>
      <w:r>
        <w:rPr>
          <w:color w:val="2B2B2B"/>
          <w:sz w:val="21"/>
        </w:rPr>
        <w:t>None of these risks is unusual for a regional distribution business, but each is material enough to shape our operating plan. We monitor category share, top-customer share, and market share at least quarterly, and the FY2026 outlook in the next section is built directly against them.</w:t>
      </w:r>
    </w:p>
    <w:p>
      <w:r>
        <w:br w:type="page"/>
      </w:r>
      <w:pPr>
        <w:pStyle w:val="Heading1"/>
        <w:pBdr>
          <w:bottom w:val="single" w:sz="8" w:space="4" w:color="C9A227"/>
        </w:pBdr>
      </w:pPr>
      <w:r>
        <w:t>6.  Outlook for FY2026</w:t>
      </w:r>
    </w:p>
    <w:p>
      <w:pPr>
        <w:spacing w:after="160" w:before="0"/>
        <w:jc w:val="both"/>
      </w:pPr>
      <w:r>
        <w:rPr>
          <w:color w:val="2B2B2B"/>
          <w:sz w:val="21"/>
        </w:rPr>
        <w:t>Looking to FY2026, management is focused on five priorities, each tied to a FY2025 strength or a risk identified above:</w:t>
      </w:r>
    </w:p>
    <w:p>
      <w:pPr>
        <w:spacing w:after="120"/>
        <w:jc w:val="both"/>
      </w:pPr>
      <w:r>
        <w:rPr>
          <w:b/>
          <w:color w:val="0B3C5D"/>
        </w:rPr>
        <w:t xml:space="preserve">1.  </w:t>
      </w:r>
      <w:r>
        <w:rPr>
          <w:color w:val="2B2B2B"/>
        </w:rPr>
        <w:t>Protect the 30.0% gross margin. We will hold gross margin at the FY2025 level of 30.0% through sourcing discipline, contract pricing, and mix management, so that the 0.4-point decline of FY2025 does not repeat.</w:t>
      </w:r>
    </w:p>
    <w:p>
      <w:pPr>
        <w:spacing w:after="120"/>
        <w:jc w:val="both"/>
      </w:pPr>
      <w:r>
        <w:rPr>
          <w:b/>
          <w:color w:val="0B3C5D"/>
        </w:rPr>
        <w:t xml:space="preserve">2.  </w:t>
      </w:r>
      <w:r>
        <w:rPr>
          <w:color w:val="2B2B2B"/>
        </w:rPr>
        <w:t>Broaden the category portfolio. The objective is to grow Electrical (17.6% of FY2025 revenue) and the mid-tier categories — Packaging, Tools and Safety &amp; PPE — so that the 56.0% Material Handling share moves down over the planning horizon.</w:t>
      </w:r>
    </w:p>
    <w:p>
      <w:pPr>
        <w:spacing w:after="120"/>
        <w:jc w:val="both"/>
      </w:pPr>
      <w:r>
        <w:rPr>
          <w:b/>
          <w:color w:val="0B3C5D"/>
        </w:rPr>
        <w:t xml:space="preserve">3.  </w:t>
      </w:r>
      <w:r>
        <w:rPr>
          <w:color w:val="2B2B2B"/>
        </w:rPr>
        <w:t>Deepen the Gulf. The Gulf region contributed 26.7% of FY2025 revenue (computed), led by the United Arab Emirates at 17.0%. We will build on the Dubai platform to grow Saudi Arabia (5.7%), Qatar (2.2%) and Oman (1.8%).</w:t>
      </w:r>
    </w:p>
    <w:p>
      <w:pPr>
        <w:spacing w:after="120"/>
        <w:jc w:val="both"/>
      </w:pPr>
      <w:r>
        <w:rPr>
          <w:b/>
          <w:color w:val="0B3C5D"/>
        </w:rPr>
        <w:t xml:space="preserve">4.  </w:t>
      </w:r>
      <w:r>
        <w:rPr>
          <w:color w:val="2B2B2B"/>
        </w:rPr>
        <w:t>Widen the customer base. With the top 20 customers at 13.65% of revenue and no customer above 1.34%, our priority is to add new accounts so that no group of accounts becomes material.</w:t>
      </w:r>
    </w:p>
    <w:p>
      <w:pPr>
        <w:spacing w:after="120"/>
        <w:jc w:val="both"/>
      </w:pPr>
      <w:r>
        <w:rPr>
          <w:b/>
          <w:color w:val="0B3C5D"/>
        </w:rPr>
        <w:t xml:space="preserve">5.  </w:t>
      </w:r>
      <w:r>
        <w:rPr>
          <w:color w:val="2B2B2B"/>
        </w:rPr>
        <w:t>Continue to grow orders. After a 4.7% increase to 6,358 orders in FY2025, we intend to sustain order growth while preserving the higher average revenue per order of roughly $10,875 (computed).</w:t>
      </w:r>
    </w:p>
    <w:p>
      <w:pPr>
        <w:spacing w:after="160" w:before="0"/>
        <w:jc w:val="both"/>
      </w:pPr>
      <w:r>
        <w:rPr>
          <w:color w:val="2B2B2B"/>
          <w:sz w:val="21"/>
        </w:rPr>
        <w:t>In summary: FY2025 delivered 7.9% revenue growth to $69.1 million, gross profit of $20.7 million at a 30.0% margin, and 6,358 orders. FY2026 is about converting that momentum into a broader, more resilient mix — in categories, customers and markets — while defending the margin line. We thank our customers, our suppliers and our shareholders for a solid year.</w:t>
      </w:r>
    </w:p>
    <w:p>
      <w:pPr>
        <w:spacing w:after="200"/>
      </w:pPr>
    </w:p>
    <w:p>
      <w:pPr>
        <w:spacing w:after="40"/>
      </w:pPr>
      <w:r>
        <w:rPr>
          <w:b/>
          <w:color w:val="2B2B2B"/>
          <w:sz w:val="20"/>
        </w:rPr>
        <w:t>Forward-looking statement</w:t>
      </w:r>
    </w:p>
    <w:p>
      <w:r>
        <w:rPr>
          <w:i/>
          <w:color w:val="2B2B2B"/>
          <w:sz w:val="20"/>
        </w:rPr>
        <w:t>The outlook section of this report contains forward-looking statements about Acme Co’s priorities. Actual results may differ. All historical figures are taken from the FY2025 fact sheet; figures marked “computed” are arithmetic derived from that fact sheet.</w:t>
      </w:r>
    </w:p>
    <w:p>
      <w:pPr>
        <w:spacing w:after="200"/>
      </w:pPr>
    </w:p>
    <w:p>
      <w:r>
        <w:rPr>
          <w:color w:val="2B2B2B"/>
          <w:sz w:val="20"/>
        </w:rPr>
        <w:t>Acme Co  ·  2200 Industrial Parkway, Toronto, ON M9W 0A1, Canada  ·  Office 1408, Harbour Tower, Dubai, United Arab Emirates</w:t>
      </w:r>
    </w:p>
    <w:sectPr w:rsidR="00FC693F" w:rsidRPr="0006063C" w:rsidSect="00034616">
      <w:headerReference w:type="default" r:id="rId11"/>
      <w:footerReference w:type="default" r:id="rId12"/>
      <w:pgSz w:w="11906" w:h="16838"/>
      <w:pgMar w:top="2948" w:right="1134" w:bottom="1020"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Bdr>
        <w:top w:val="single" w:sz="6" w:space="4" w:color="F2F4F5"/>
      </w:pBdr>
    </w:pPr>
    <w:r>
      <w:rPr>
        <w:color w:val="2B2B2B"/>
        <w:sz w:val="20"/>
      </w:rPr>
      <w:t xml:space="preserve">Page </w:t>
    </w:r>
    <w:r>
      <w:rPr>
        <w:color w:val="2B2B2B"/>
        <w:sz w:val="20"/>
      </w:rPr>
      <w:fldChar w:fldCharType="begin"/>
      <w:instrText xml:space="preserve"> PAGE </w:instrText>
      <w:fldChar w:fldCharType="end"/>
    </w:r>
    <w:r>
      <w:rPr>
        <w:color w:val="2B2B2B"/>
        <w:sz w:val="20"/>
      </w:rPr>
      <w:t xml:space="preserve"> of </w:t>
    </w:r>
    <w:r>
      <w:rPr>
        <w:color w:val="2B2B2B"/>
        <w:sz w:val="20"/>
      </w:rPr>
      <w:fldChar w:fldCharType="begin"/>
      <w:instrText xml:space="preserve"> NUMPAGES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Bdr>
        <w:top w:val="single" w:sz="6" w:space="4" w:color="F2F4F5"/>
      </w:pBdr>
    </w:pPr>
    <w:r>
      <w:rPr>
        <w:color w:val="2B2B2B"/>
        <w:sz w:val="20"/>
      </w:rPr>
      <w:t xml:space="preserve">Page </w:t>
    </w:r>
    <w:r>
      <w:rPr>
        <w:color w:val="2B2B2B"/>
        <w:sz w:val="20"/>
      </w:rPr>
      <w:fldChar w:fldCharType="begin"/>
      <w:instrText xml:space="preserve"> PAGE </w:instrText>
      <w:fldChar w:fldCharType="end"/>
    </w:r>
    <w:r>
      <w:rPr>
        <w:color w:val="2B2B2B"/>
        <w:sz w:val="20"/>
      </w:rPr>
      <w:t xml:space="preserve"> of </w:t>
    </w:r>
    <w:r>
      <w:rPr>
        <w:color w:val="2B2B2B"/>
        <w:sz w:val="20"/>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spacing w:after="40"/>
      <w:pBdr>
        <w:bottom w:val="single" w:sz="12" w:space="4" w:color="0B3C5D"/>
      </w:pBdr>
    </w:pPr>
    <w:r>
      <w:drawing>
        <wp:inline xmlns:a="http://schemas.openxmlformats.org/drawingml/2006/main" xmlns:pic="http://schemas.openxmlformats.org/drawingml/2006/picture">
          <wp:extent cx="1080000" cy="10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080000" cy="1080000"/>
                  </a:xfrm>
                  <a:prstGeom prst="rect"/>
                </pic:spPr>
              </pic:pic>
            </a:graphicData>
          </a:graphic>
        </wp:inline>
      </w:drawing>
    </w:r>
    <w:r>
      <w:rPr>
        <w:rFonts w:ascii="Helvetica" w:hAnsi="Helvetica"/>
        <w:b/>
        <w:color w:val="0B3C5D"/>
        <w:sz w:val="20"/>
      </w:rPr>
      <w:tab/>
      <w:t>Acme Co</w:t>
    </w:r>
    <w:r>
      <w:rPr>
        <w:rFonts w:ascii="Helvetica" w:hAnsi="Helvetica"/>
        <w:color w:val="2B2B2B"/>
        <w:sz w:val="20"/>
      </w:rPr>
      <w:t xml:space="preserve">   |   Annual Report — FY2025</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spacing w:after="40"/>
      <w:pBdr>
        <w:bottom w:val="single" w:sz="12" w:space="4" w:color="0B3C5D"/>
      </w:pBdr>
    </w:pPr>
    <w:r>
      <w:drawing>
        <wp:inline xmlns:a="http://schemas.openxmlformats.org/drawingml/2006/main" xmlns:pic="http://schemas.openxmlformats.org/drawingml/2006/picture">
          <wp:extent cx="1080000" cy="10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080000" cy="1080000"/>
                  </a:xfrm>
                  <a:prstGeom prst="rect"/>
                </pic:spPr>
              </pic:pic>
            </a:graphicData>
          </a:graphic>
        </wp:inline>
      </w:drawing>
    </w:r>
    <w:r>
      <w:rPr>
        <w:rFonts w:ascii="Helvetica" w:hAnsi="Helvetica"/>
        <w:b/>
        <w:color w:val="0B3C5D"/>
        <w:sz w:val="20"/>
      </w:rPr>
      <w:tab/>
      <w:t>Acme Co</w:t>
    </w:r>
    <w:r>
      <w:rPr>
        <w:rFonts w:ascii="Helvetica" w:hAnsi="Helvetica"/>
        <w:color w:val="2B2B2B"/>
        <w:sz w:val="20"/>
      </w:rPr>
      <w:t xml:space="preserve">   |   Annual Report — FY2025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Helvetica" w:hAnsi="Helvetica" w:cs="Helvetica"/>
      <w:color w:val="2B2B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200" w:line="240" w:lineRule="auto"/>
      <w:outlineLvl w:val="0"/>
    </w:pPr>
    <w:rPr>
      <w:rFonts w:asciiTheme="majorHAnsi" w:eastAsiaTheme="majorEastAsia" w:hAnsiTheme="majorHAnsi" w:cstheme="majorBidi" w:ascii="Helvetica" w:hAnsi="Helvetica" w:cs="Helvetica"/>
      <w:b/>
      <w:bCs/>
      <w:color w:val="0B3C5D"/>
      <w:sz w:val="48"/>
      <w:szCs w:val="28"/>
    </w:rPr>
  </w:style>
  <w:style w:type="paragraph" w:styleId="Heading2">
    <w:name w:val="heading 2"/>
    <w:basedOn w:val="Normal"/>
    <w:next w:val="Normal"/>
    <w:link w:val="Heading2Char"/>
    <w:uiPriority w:val="9"/>
    <w:unhideWhenUsed/>
    <w:qFormat/>
    <w:rsid w:val="00FC693F"/>
    <w:pPr>
      <w:keepNext/>
      <w:keepLines/>
      <w:spacing w:before="200" w:after="120" w:line="240" w:lineRule="auto"/>
      <w:outlineLvl w:val="1"/>
    </w:pPr>
    <w:rPr>
      <w:rFonts w:asciiTheme="majorHAnsi" w:eastAsiaTheme="majorEastAsia" w:hAnsiTheme="majorHAnsi" w:cstheme="majorBidi" w:ascii="Helvetica" w:hAnsi="Helvetica" w:cs="Helvetica"/>
      <w:b/>
      <w:bCs/>
      <w:color w:val="0B3C5D"/>
      <w:sz w:val="26"/>
      <w:szCs w:val="26"/>
    </w:rPr>
  </w:style>
  <w:style w:type="paragraph" w:styleId="Heading3">
    <w:name w:val="heading 3"/>
    <w:basedOn w:val="Normal"/>
    <w:next w:val="Normal"/>
    <w:link w:val="Heading3Char"/>
    <w:uiPriority w:val="9"/>
    <w:unhideWhenUsed/>
    <w:qFormat/>
    <w:rsid w:val="00FC693F"/>
    <w:pPr>
      <w:keepNext/>
      <w:keepLines/>
      <w:spacing w:before="160" w:after="80" w:line="240" w:lineRule="auto"/>
      <w:outlineLvl w:val="2"/>
    </w:pPr>
    <w:rPr>
      <w:rFonts w:asciiTheme="majorHAnsi" w:eastAsiaTheme="majorEastAsia" w:hAnsiTheme="majorHAnsi" w:cstheme="majorBidi" w:ascii="Helvetica" w:hAnsi="Helvetica" w:cs="Helvetica"/>
      <w:b/>
      <w:bCs/>
      <w:color w:val="0B3C5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 Co - Annual Report FY2025</dc:title>
  <dc:subject/>
  <dc:creator>Acme Co</dc:creator>
  <cp:keywords/>
  <dc:description>generated by python-docx</dc:description>
  <cp:lastModifiedBy/>
  <cp:revision>1</cp:revision>
  <dcterms:created xsi:type="dcterms:W3CDTF">2013-12-23T23:15:00Z</dcterms:created>
  <dcterms:modified xsi:type="dcterms:W3CDTF">2013-12-23T23:15:00Z</dcterms:modified>
  <cp:category/>
</cp:coreProperties>
</file>