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Helvetica-Bold" w:hAnsi="Helvetica-Bold"/>
          <w:b/>
          <w:i w:val="0"/>
          <w:color w:val="0B3C5D"/>
          <w:sz w:val="52"/>
        </w:rPr>
        <w:t>Acme Co</w:t>
      </w:r>
    </w:p>
    <w:p>
      <w:pPr>
        <w:spacing w:after="200"/>
      </w:pPr>
      <w:r>
        <w:rPr>
          <w:rFonts w:ascii="Helvetica" w:hAnsi="Helvetica"/>
          <w:b w:val="0"/>
          <w:i w:val="0"/>
          <w:color w:val="2B2B2B"/>
          <w:sz w:val="26"/>
        </w:rPr>
        <w:t>Industrial and office supply distribution</w:t>
      </w:r>
    </w:p>
    <w:p>
      <w:pPr>
        <w:spacing w:after="40"/>
      </w:pPr>
      <w:r>
        <w:rPr>
          <w:rFonts w:ascii="Helvetica-Bold" w:hAnsi="Helvetica-Bold"/>
          <w:b/>
          <w:i w:val="0"/>
          <w:color w:val="0B3C5D"/>
          <w:sz w:val="34"/>
        </w:rPr>
        <w:t>Annual Report — Fiscal Year 2025</w:t>
      </w:r>
    </w:p>
    <w:p>
      <w:pPr>
        <w:spacing w:after="20"/>
      </w:pPr>
      <w:r>
        <w:rPr>
          <w:rFonts w:ascii="Helvetica" w:hAnsi="Helvetica"/>
          <w:b w:val="0"/>
          <w:i w:val="0"/>
          <w:color w:val="2B2B2B"/>
          <w:sz w:val="20"/>
        </w:rPr>
        <w:t>Head office: 2200 Industrial Parkway, Toronto, ON M9W 0A1, Canada</w:t>
      </w:r>
    </w:p>
    <w:p>
      <w:pPr>
        <w:spacing w:after="160"/>
        <w:pBdr>
          <w:bottom w:val="single" w:sz="14" w:space="4" w:color="0B3C5D"/>
        </w:pBdr>
      </w:pPr>
      <w:r>
        <w:rPr>
          <w:rFonts w:ascii="Helvetica" w:hAnsi="Helvetica"/>
          <w:b w:val="0"/>
          <w:i w:val="0"/>
          <w:color w:val="2B2B2B"/>
          <w:sz w:val="20"/>
        </w:rPr>
        <w:t>Gulf office: Office 1408, Harbour Tower, Dubai, United Arab Emirates</w:t>
      </w:r>
    </w:p>
    <w:p>
      <w:pPr>
        <w:spacing w:before="320" w:after="160"/>
      </w:pPr>
      <w:r>
        <w:rPr>
          <w:rFonts w:ascii="Helvetica-Bold" w:hAnsi="Helvetica-Bold"/>
          <w:b/>
          <w:color w:val="0B3C5D"/>
          <w:sz w:val="48"/>
        </w:rPr>
        <w:t>Letter to shareholders</w:t>
      </w:r>
    </w:p>
    <w:p>
      <w:pPr>
        <w:spacing w:after="120"/>
      </w:pPr>
      <w:r>
        <w:rPr>
          <w:rFonts w:ascii="Helvetica" w:hAnsi="Helvetica"/>
          <w:b w:val="0"/>
          <w:i w:val="0"/>
          <w:color w:val="2B2B2B"/>
          <w:sz w:val="22"/>
        </w:rPr>
        <w:t>Dear Shareholders,</w:t>
      </w:r>
    </w:p>
    <w:p>
      <w:pPr>
        <w:spacing w:after="120"/>
      </w:pPr>
      <w:r>
        <w:rPr>
          <w:rFonts w:ascii="Helvetica" w:hAnsi="Helvetica"/>
          <w:b w:val="0"/>
          <w:i w:val="0"/>
          <w:color w:val="2B2B2B"/>
          <w:sz w:val="22"/>
        </w:rPr>
        <w:t>It is my pleasure to present Acme Co’s annual report for fiscal year 2025 (FY2025). Acme Co is a distributor of industrial and office supplies, serving customers from our head office at 2200 Industrial Parkway, Toronto, ON M9W 0A1, Canada, and our Gulf office at Office 1408, Harbour Tower, Dubai, United Arab Emirates.</w:t>
      </w:r>
    </w:p>
    <w:p>
      <w:pPr>
        <w:spacing w:after="120"/>
      </w:pPr>
      <w:r>
        <w:rPr>
          <w:rFonts w:ascii="Helvetica" w:hAnsi="Helvetica"/>
          <w:b w:val="0"/>
          <w:i w:val="0"/>
          <w:color w:val="2B2B2B"/>
          <w:sz w:val="22"/>
        </w:rPr>
        <w:t>FY2025 was a year of growth for Acme Co. Revenue increased 7.9% to $69.1 million ($69,146,302.56), up from $64.1 million ($64,106,153.02) in FY2024. Gross profit grew 6.4% to $20.7 million, and we fulfilled 6,358 orders, an increase of 4.7% from 6,071 orders in the prior year. Our gross margin for the year was 30.0%, down 0.4 percentage points from 30.4% in FY2024.</w:t>
      </w:r>
    </w:p>
    <w:p>
      <w:pPr>
        <w:spacing w:after="120"/>
      </w:pPr>
      <w:r>
        <w:rPr>
          <w:rFonts w:ascii="Helvetica" w:hAnsi="Helvetica"/>
          <w:b w:val="0"/>
          <w:i w:val="0"/>
          <w:color w:val="2B2B2B"/>
          <w:sz w:val="22"/>
        </w:rPr>
        <w:t>Our category mix remains led by Material Handling, which generated $38,734,228.05, or 56.0% of revenue. Our customer base is broad, with our top 20 customers together representing 13.65% of revenue. Geographically, Canada accounted for 69.7% of revenue ($48,209,042.23 across 4,474 orders) and the United Arab Emirates for 17.0% ($11,726,342.95 across 1,069 orders).</w:t>
      </w:r>
    </w:p>
    <w:p>
      <w:pPr>
        <w:spacing w:after="120"/>
      </w:pPr>
      <w:r>
        <w:rPr>
          <w:rFonts w:ascii="Helvetica" w:hAnsi="Helvetica"/>
          <w:b w:val="0"/>
          <w:i w:val="0"/>
          <w:color w:val="2B2B2B"/>
          <w:sz w:val="22"/>
        </w:rPr>
        <w:t>We are pleased with the top-line growth delivered in FY2025 and remain focused on expanding our order base while managing the concentration risks described later in this report. Thank you for your continued support of Acme Co.</w:t>
      </w:r>
    </w:p>
    <w:p>
      <w:pPr>
        <w:spacing w:after="40"/>
      </w:pPr>
      <w:r>
        <w:rPr>
          <w:rFonts w:ascii="Helvetica" w:hAnsi="Helvetica"/>
          <w:b w:val="0"/>
          <w:i w:val="0"/>
          <w:color w:val="2B2B2B"/>
          <w:sz w:val="22"/>
        </w:rPr>
        <w:t>Sincerely,</w:t>
      </w:r>
    </w:p>
    <w:p>
      <w:pPr>
        <w:spacing w:after="0"/>
      </w:pPr>
      <w:r>
        <w:rPr>
          <w:rFonts w:ascii="Helvetica" w:hAnsi="Helvetica"/>
          <w:b/>
          <w:i w:val="0"/>
          <w:color w:val="2B2B2B"/>
          <w:sz w:val="22"/>
        </w:rPr>
        <w:t>The Acme Co Leadership Team</w:t>
      </w:r>
    </w:p>
    <w:p>
      <w:r>
        <w:br w:type="page"/>
      </w:r>
    </w:p>
    <w:p>
      <w:pPr>
        <w:spacing w:before="320" w:after="160"/>
      </w:pPr>
      <w:r>
        <w:rPr>
          <w:rFonts w:ascii="Helvetica-Bold" w:hAnsi="Helvetica-Bold"/>
          <w:b/>
          <w:color w:val="0B3C5D"/>
          <w:sz w:val="48"/>
        </w:rPr>
        <w:t>FY2025 financial review</w:t>
      </w:r>
    </w:p>
    <w:p>
      <w:pPr>
        <w:spacing w:after="120"/>
      </w:pPr>
      <w:r>
        <w:rPr>
          <w:rFonts w:ascii="Helvetica" w:hAnsi="Helvetica"/>
          <w:b w:val="0"/>
          <w:i w:val="0"/>
          <w:color w:val="2B2B2B"/>
          <w:sz w:val="22"/>
        </w:rPr>
        <w:t>Acme Co generated revenue of $69.1 million ($69,146,302.56) in FY2025, an increase of 7.9% from $64.1 million ($64,106,153.02) in FY2024. Cost of goods sold was $48.4 million in FY2025 compared with $44.6 million in FY2024. Gross profit rose to $20.7 million from $19.5 million, growth of 6.4%. Gross margin was 30.0% in FY2025, a decline of 0.4 percentage points from 30.4% in FY2024. Order volume reached 6,358, up 4.7% from 6,071 orders in the prior year.</w:t>
      </w:r>
    </w:p>
    <w:tbl>
      <w:tblPr>
        <w:tblW w:type="auto" w:w="0"/>
        <w:tblLayout w:type="fixed"/>
        <w:tblLook w:firstColumn="1" w:firstRow="1" w:lastColumn="0" w:lastRow="0" w:noHBand="0" w:noVBand="1" w:val="04A0"/>
      </w:tblPr>
      <w:tblGrid>
        <w:gridCol w:w="3120"/>
        <w:gridCol w:w="3120"/>
        <w:gridCol w:w="3120"/>
      </w:tblGrid>
      <w:tr>
        <w:tc>
          <w:tcPr>
            <w:tcW w:type="dxa" w:w="3024"/>
            <w:shd w:val="clear" w:color="auto" w:fill="0B3C5D"/>
          </w:tcPr>
          <w:p>
            <w:pPr>
              <w:spacing w:after="40" w:before="40"/>
              <w:jc w:val="center"/>
            </w:pPr>
            <w:r>
              <w:rPr>
                <w:rFonts w:ascii="Helvetica-Bold" w:hAnsi="Helvetica-Bold"/>
                <w:b/>
                <w:color w:val="FFFFFF"/>
                <w:sz w:val="20"/>
              </w:rPr>
              <w:t>Metric</w:t>
            </w:r>
          </w:p>
        </w:tc>
        <w:tc>
          <w:tcPr>
            <w:tcW w:type="dxa" w:w="3168"/>
            <w:shd w:val="clear" w:color="auto" w:fill="0B3C5D"/>
          </w:tcPr>
          <w:p>
            <w:pPr>
              <w:spacing w:after="40" w:before="40"/>
              <w:jc w:val="center"/>
            </w:pPr>
            <w:r>
              <w:rPr>
                <w:rFonts w:ascii="Helvetica-Bold" w:hAnsi="Helvetica-Bold"/>
                <w:b/>
                <w:color w:val="FFFFFF"/>
                <w:sz w:val="20"/>
              </w:rPr>
              <w:t>FY2025</w:t>
            </w:r>
          </w:p>
        </w:tc>
        <w:tc>
          <w:tcPr>
            <w:tcW w:type="dxa" w:w="3168"/>
            <w:shd w:val="clear" w:color="auto" w:fill="0B3C5D"/>
          </w:tcPr>
          <w:p>
            <w:pPr>
              <w:spacing w:after="40" w:before="40"/>
              <w:jc w:val="center"/>
            </w:pPr>
            <w:r>
              <w:rPr>
                <w:rFonts w:ascii="Helvetica-Bold" w:hAnsi="Helvetica-Bold"/>
                <w:b/>
                <w:color w:val="FFFFFF"/>
                <w:sz w:val="20"/>
              </w:rPr>
              <w:t>FY2024</w:t>
            </w:r>
          </w:p>
        </w:tc>
      </w:tr>
      <w:tr>
        <w:tc>
          <w:tcPr>
            <w:tcW w:type="dxa" w:w="3120"/>
          </w:tcPr>
          <w:p>
            <w:pPr>
              <w:spacing w:after="40" w:before="40"/>
            </w:pPr>
            <w:r>
              <w:rPr>
                <w:rFonts w:ascii="Helvetica" w:hAnsi="Helvetica"/>
                <w:color w:val="2B2B2B"/>
                <w:sz w:val="20"/>
              </w:rPr>
              <w:t>Revenue</w:t>
            </w:r>
          </w:p>
        </w:tc>
        <w:tc>
          <w:tcPr>
            <w:tcW w:type="dxa" w:w="3120"/>
          </w:tcPr>
          <w:p>
            <w:pPr>
              <w:spacing w:after="40" w:before="40"/>
            </w:pPr>
            <w:r>
              <w:rPr>
                <w:rFonts w:ascii="Helvetica" w:hAnsi="Helvetica"/>
                <w:color w:val="2B2B2B"/>
                <w:sz w:val="20"/>
              </w:rPr>
              <w:t>$69,146,302.56 ($69.1M)</w:t>
            </w:r>
          </w:p>
        </w:tc>
        <w:tc>
          <w:tcPr>
            <w:tcW w:type="dxa" w:w="3120"/>
          </w:tcPr>
          <w:p>
            <w:pPr>
              <w:spacing w:after="40" w:before="40"/>
            </w:pPr>
            <w:r>
              <w:rPr>
                <w:rFonts w:ascii="Helvetica" w:hAnsi="Helvetica"/>
                <w:color w:val="2B2B2B"/>
                <w:sz w:val="20"/>
              </w:rPr>
              <w:t>$64,106,153.02 ($64.1M)</w:t>
            </w:r>
          </w:p>
        </w:tc>
      </w:tr>
      <w:tr>
        <w:tc>
          <w:tcPr>
            <w:tcW w:type="dxa" w:w="3120"/>
            <w:shd w:val="clear" w:color="auto" w:fill="F2F4F5"/>
          </w:tcPr>
          <w:p>
            <w:pPr>
              <w:spacing w:after="40" w:before="40"/>
            </w:pPr>
            <w:r>
              <w:rPr>
                <w:rFonts w:ascii="Helvetica" w:hAnsi="Helvetica"/>
                <w:color w:val="2B2B2B"/>
                <w:sz w:val="20"/>
              </w:rPr>
              <w:t>Cost of goods sold</w:t>
            </w:r>
          </w:p>
        </w:tc>
        <w:tc>
          <w:tcPr>
            <w:tcW w:type="dxa" w:w="3120"/>
            <w:shd w:val="clear" w:color="auto" w:fill="F2F4F5"/>
          </w:tcPr>
          <w:p>
            <w:pPr>
              <w:spacing w:after="40" w:before="40"/>
            </w:pPr>
            <w:r>
              <w:rPr>
                <w:rFonts w:ascii="Helvetica" w:hAnsi="Helvetica"/>
                <w:color w:val="2B2B2B"/>
                <w:sz w:val="20"/>
              </w:rPr>
              <w:t>$48.4M</w:t>
            </w:r>
          </w:p>
        </w:tc>
        <w:tc>
          <w:tcPr>
            <w:tcW w:type="dxa" w:w="3120"/>
            <w:shd w:val="clear" w:color="auto" w:fill="F2F4F5"/>
          </w:tcPr>
          <w:p>
            <w:pPr>
              <w:spacing w:after="40" w:before="40"/>
            </w:pPr>
            <w:r>
              <w:rPr>
                <w:rFonts w:ascii="Helvetica" w:hAnsi="Helvetica"/>
                <w:color w:val="2B2B2B"/>
                <w:sz w:val="20"/>
              </w:rPr>
              <w:t>$44.6M</w:t>
            </w:r>
          </w:p>
        </w:tc>
      </w:tr>
      <w:tr>
        <w:tc>
          <w:tcPr>
            <w:tcW w:type="dxa" w:w="3120"/>
          </w:tcPr>
          <w:p>
            <w:pPr>
              <w:spacing w:after="40" w:before="40"/>
            </w:pPr>
            <w:r>
              <w:rPr>
                <w:rFonts w:ascii="Helvetica" w:hAnsi="Helvetica"/>
                <w:color w:val="2B2B2B"/>
                <w:sz w:val="20"/>
              </w:rPr>
              <w:t>Gross profit</w:t>
            </w:r>
          </w:p>
        </w:tc>
        <w:tc>
          <w:tcPr>
            <w:tcW w:type="dxa" w:w="3120"/>
          </w:tcPr>
          <w:p>
            <w:pPr>
              <w:spacing w:after="40" w:before="40"/>
            </w:pPr>
            <w:r>
              <w:rPr>
                <w:rFonts w:ascii="Helvetica" w:hAnsi="Helvetica"/>
                <w:color w:val="2B2B2B"/>
                <w:sz w:val="20"/>
              </w:rPr>
              <w:t>$20.7M</w:t>
            </w:r>
          </w:p>
        </w:tc>
        <w:tc>
          <w:tcPr>
            <w:tcW w:type="dxa" w:w="3120"/>
          </w:tcPr>
          <w:p>
            <w:pPr>
              <w:spacing w:after="40" w:before="40"/>
            </w:pPr>
            <w:r>
              <w:rPr>
                <w:rFonts w:ascii="Helvetica" w:hAnsi="Helvetica"/>
                <w:color w:val="2B2B2B"/>
                <w:sz w:val="20"/>
              </w:rPr>
              <w:t>$19.5M</w:t>
            </w:r>
          </w:p>
        </w:tc>
      </w:tr>
      <w:tr>
        <w:tc>
          <w:tcPr>
            <w:tcW w:type="dxa" w:w="3120"/>
            <w:shd w:val="clear" w:color="auto" w:fill="F2F4F5"/>
          </w:tcPr>
          <w:p>
            <w:pPr>
              <w:spacing w:after="40" w:before="40"/>
            </w:pPr>
            <w:r>
              <w:rPr>
                <w:rFonts w:ascii="Helvetica" w:hAnsi="Helvetica"/>
                <w:color w:val="2B2B2B"/>
                <w:sz w:val="20"/>
              </w:rPr>
              <w:t>Gross margin</w:t>
            </w:r>
          </w:p>
        </w:tc>
        <w:tc>
          <w:tcPr>
            <w:tcW w:type="dxa" w:w="3120"/>
            <w:shd w:val="clear" w:color="auto" w:fill="F2F4F5"/>
          </w:tcPr>
          <w:p>
            <w:pPr>
              <w:spacing w:after="40" w:before="40"/>
            </w:pPr>
            <w:r>
              <w:rPr>
                <w:rFonts w:ascii="Helvetica" w:hAnsi="Helvetica"/>
                <w:color w:val="2B2B2B"/>
                <w:sz w:val="20"/>
              </w:rPr>
              <w:t>30.0%</w:t>
            </w:r>
          </w:p>
        </w:tc>
        <w:tc>
          <w:tcPr>
            <w:tcW w:type="dxa" w:w="3120"/>
            <w:shd w:val="clear" w:color="auto" w:fill="F2F4F5"/>
          </w:tcPr>
          <w:p>
            <w:pPr>
              <w:spacing w:after="40" w:before="40"/>
            </w:pPr>
            <w:r>
              <w:rPr>
                <w:rFonts w:ascii="Helvetica" w:hAnsi="Helvetica"/>
                <w:color w:val="2B2B2B"/>
                <w:sz w:val="20"/>
              </w:rPr>
              <w:t>30.4%</w:t>
            </w:r>
          </w:p>
        </w:tc>
      </w:tr>
      <w:tr>
        <w:tc>
          <w:tcPr>
            <w:tcW w:type="dxa" w:w="3120"/>
          </w:tcPr>
          <w:p>
            <w:pPr>
              <w:spacing w:after="40" w:before="40"/>
            </w:pPr>
            <w:r>
              <w:rPr>
                <w:rFonts w:ascii="Helvetica" w:hAnsi="Helvetica"/>
                <w:color w:val="2B2B2B"/>
                <w:sz w:val="20"/>
              </w:rPr>
              <w:t>Orders</w:t>
            </w:r>
          </w:p>
        </w:tc>
        <w:tc>
          <w:tcPr>
            <w:tcW w:type="dxa" w:w="3120"/>
          </w:tcPr>
          <w:p>
            <w:pPr>
              <w:spacing w:after="40" w:before="40"/>
            </w:pPr>
            <w:r>
              <w:rPr>
                <w:rFonts w:ascii="Helvetica" w:hAnsi="Helvetica"/>
                <w:color w:val="2B2B2B"/>
                <w:sz w:val="20"/>
              </w:rPr>
              <w:t>6,358</w:t>
            </w:r>
          </w:p>
        </w:tc>
        <w:tc>
          <w:tcPr>
            <w:tcW w:type="dxa" w:w="3120"/>
          </w:tcPr>
          <w:p>
            <w:pPr>
              <w:spacing w:after="40" w:before="40"/>
            </w:pPr>
            <w:r>
              <w:rPr>
                <w:rFonts w:ascii="Helvetica" w:hAnsi="Helvetica"/>
                <w:color w:val="2B2B2B"/>
                <w:sz w:val="20"/>
              </w:rPr>
              <w:t>6,071</w:t>
            </w:r>
          </w:p>
        </w:tc>
      </w:tr>
      <w:tr>
        <w:tc>
          <w:tcPr>
            <w:tcW w:type="dxa" w:w="3120"/>
            <w:shd w:val="clear" w:color="auto" w:fill="F2F4F5"/>
          </w:tcPr>
          <w:p>
            <w:pPr>
              <w:spacing w:after="40" w:before="40"/>
            </w:pPr>
            <w:r>
              <w:rPr>
                <w:rFonts w:ascii="Helvetica" w:hAnsi="Helvetica"/>
                <w:color w:val="2B2B2B"/>
                <w:sz w:val="20"/>
              </w:rPr>
              <w:t>Revenue growth (YoY)</w:t>
            </w:r>
          </w:p>
        </w:tc>
        <w:tc>
          <w:tcPr>
            <w:tcW w:type="dxa" w:w="3120"/>
            <w:shd w:val="clear" w:color="auto" w:fill="F2F4F5"/>
          </w:tcPr>
          <w:p>
            <w:pPr>
              <w:spacing w:after="40" w:before="40"/>
            </w:pPr>
            <w:r>
              <w:rPr>
                <w:rFonts w:ascii="Helvetica" w:hAnsi="Helvetica"/>
                <w:color w:val="2B2B2B"/>
                <w:sz w:val="20"/>
              </w:rPr>
              <w:t>7.9%</w:t>
            </w:r>
          </w:p>
        </w:tc>
        <w:tc>
          <w:tcPr>
            <w:tcW w:type="dxa" w:w="3120"/>
            <w:shd w:val="clear" w:color="auto" w:fill="F2F4F5"/>
          </w:tcPr>
          <w:p>
            <w:pPr>
              <w:spacing w:after="40" w:before="40"/>
            </w:pPr>
            <w:r>
              <w:rPr>
                <w:rFonts w:ascii="Helvetica" w:hAnsi="Helvetica"/>
                <w:color w:val="2B2B2B"/>
                <w:sz w:val="20"/>
              </w:rPr>
              <w:t>—</w:t>
            </w:r>
          </w:p>
        </w:tc>
      </w:tr>
      <w:tr>
        <w:tc>
          <w:tcPr>
            <w:tcW w:type="dxa" w:w="3120"/>
          </w:tcPr>
          <w:p>
            <w:pPr>
              <w:spacing w:after="40" w:before="40"/>
            </w:pPr>
            <w:r>
              <w:rPr>
                <w:rFonts w:ascii="Helvetica" w:hAnsi="Helvetica"/>
                <w:color w:val="2B2B2B"/>
                <w:sz w:val="20"/>
              </w:rPr>
              <w:t>Gross profit growth (YoY)</w:t>
            </w:r>
          </w:p>
        </w:tc>
        <w:tc>
          <w:tcPr>
            <w:tcW w:type="dxa" w:w="3120"/>
          </w:tcPr>
          <w:p>
            <w:pPr>
              <w:spacing w:after="40" w:before="40"/>
            </w:pPr>
            <w:r>
              <w:rPr>
                <w:rFonts w:ascii="Helvetica" w:hAnsi="Helvetica"/>
                <w:color w:val="2B2B2B"/>
                <w:sz w:val="20"/>
              </w:rPr>
              <w:t>6.4%</w:t>
            </w:r>
          </w:p>
        </w:tc>
        <w:tc>
          <w:tcPr>
            <w:tcW w:type="dxa" w:w="3120"/>
          </w:tcPr>
          <w:p>
            <w:pPr>
              <w:spacing w:after="40" w:before="40"/>
            </w:pPr>
            <w:r>
              <w:rPr>
                <w:rFonts w:ascii="Helvetica" w:hAnsi="Helvetica"/>
                <w:color w:val="2B2B2B"/>
                <w:sz w:val="20"/>
              </w:rPr>
              <w:t>—</w:t>
            </w:r>
          </w:p>
        </w:tc>
      </w:tr>
      <w:tr>
        <w:tc>
          <w:tcPr>
            <w:tcW w:type="dxa" w:w="3120"/>
            <w:shd w:val="clear" w:color="auto" w:fill="F2F4F5"/>
          </w:tcPr>
          <w:p>
            <w:pPr>
              <w:spacing w:after="40" w:before="40"/>
            </w:pPr>
            <w:r>
              <w:rPr>
                <w:rFonts w:ascii="Helvetica" w:hAnsi="Helvetica"/>
                <w:color w:val="2B2B2B"/>
                <w:sz w:val="20"/>
              </w:rPr>
              <w:t>Gross margin change (YoY)</w:t>
            </w:r>
          </w:p>
        </w:tc>
        <w:tc>
          <w:tcPr>
            <w:tcW w:type="dxa" w:w="3120"/>
            <w:shd w:val="clear" w:color="auto" w:fill="F2F4F5"/>
          </w:tcPr>
          <w:p>
            <w:pPr>
              <w:spacing w:after="40" w:before="40"/>
            </w:pPr>
            <w:r>
              <w:rPr>
                <w:rFonts w:ascii="Helvetica" w:hAnsi="Helvetica"/>
                <w:color w:val="2B2B2B"/>
                <w:sz w:val="20"/>
              </w:rPr>
              <w:t>−0.4 points</w:t>
            </w:r>
          </w:p>
        </w:tc>
        <w:tc>
          <w:tcPr>
            <w:tcW w:type="dxa" w:w="3120"/>
            <w:shd w:val="clear" w:color="auto" w:fill="F2F4F5"/>
          </w:tcPr>
          <w:p>
            <w:pPr>
              <w:spacing w:after="40" w:before="40"/>
            </w:pPr>
            <w:r>
              <w:rPr>
                <w:rFonts w:ascii="Helvetica" w:hAnsi="Helvetica"/>
                <w:color w:val="2B2B2B"/>
                <w:sz w:val="20"/>
              </w:rPr>
              <w:t>—</w:t>
            </w:r>
          </w:p>
        </w:tc>
      </w:tr>
      <w:tr>
        <w:tc>
          <w:tcPr>
            <w:tcW w:type="dxa" w:w="3120"/>
          </w:tcPr>
          <w:p>
            <w:pPr>
              <w:spacing w:after="40" w:before="40"/>
            </w:pPr>
            <w:r>
              <w:rPr>
                <w:rFonts w:ascii="Helvetica" w:hAnsi="Helvetica"/>
                <w:color w:val="2B2B2B"/>
                <w:sz w:val="20"/>
              </w:rPr>
              <w:t>Order growth (YoY)</w:t>
            </w:r>
          </w:p>
        </w:tc>
        <w:tc>
          <w:tcPr>
            <w:tcW w:type="dxa" w:w="3120"/>
          </w:tcPr>
          <w:p>
            <w:pPr>
              <w:spacing w:after="40" w:before="40"/>
            </w:pPr>
            <w:r>
              <w:rPr>
                <w:rFonts w:ascii="Helvetica" w:hAnsi="Helvetica"/>
                <w:color w:val="2B2B2B"/>
                <w:sz w:val="20"/>
              </w:rPr>
              <w:t>4.7%</w:t>
            </w:r>
          </w:p>
        </w:tc>
        <w:tc>
          <w:tcPr>
            <w:tcW w:type="dxa" w:w="3120"/>
          </w:tcPr>
          <w:p>
            <w:pPr>
              <w:spacing w:after="40" w:before="40"/>
            </w:pPr>
            <w:r>
              <w:rPr>
                <w:rFonts w:ascii="Helvetica" w:hAnsi="Helvetica"/>
                <w:color w:val="2B2B2B"/>
                <w:sz w:val="20"/>
              </w:rPr>
              <w:t>—</w:t>
            </w:r>
          </w:p>
        </w:tc>
      </w:tr>
    </w:tbl>
    <w:p>
      <w:pPr>
        <w:spacing w:after="40"/>
      </w:pPr>
      <w:r>
        <w:rPr>
          <w:rFonts w:ascii="Helvetica" w:hAnsi="Helvetica"/>
          <w:b w:val="0"/>
          <w:i w:val="0"/>
          <w:color w:val="2B2B2B"/>
          <w:sz w:val="22"/>
        </w:rPr>
      </w:r>
    </w:p>
    <w:p>
      <w:pPr>
        <w:spacing w:after="80"/>
      </w:pPr>
      <w:r>
        <w:rPr>
          <w:rFonts w:ascii="Helvetica" w:hAnsi="Helvetica"/>
          <w:b/>
          <w:i w:val="0"/>
          <w:color w:val="2B2B2B"/>
          <w:sz w:val="22"/>
        </w:rPr>
        <w:t>Monthly revenue and gross profit, FY2025:</w:t>
      </w:r>
    </w:p>
    <w:tbl>
      <w:tblPr>
        <w:tblW w:type="auto" w:w="0"/>
        <w:tblLayout w:type="fixed"/>
        <w:tblLook w:firstColumn="1" w:firstRow="1" w:lastColumn="0" w:lastRow="0" w:noHBand="0" w:noVBand="1" w:val="04A0"/>
      </w:tblPr>
      <w:tblGrid>
        <w:gridCol w:w="3120"/>
        <w:gridCol w:w="3120"/>
        <w:gridCol w:w="3120"/>
      </w:tblGrid>
      <w:tr>
        <w:tc>
          <w:tcPr>
            <w:tcW w:type="dxa" w:w="1440"/>
            <w:shd w:val="clear" w:color="auto" w:fill="0B3C5D"/>
          </w:tcPr>
          <w:p>
            <w:pPr>
              <w:spacing w:after="40" w:before="40"/>
              <w:jc w:val="center"/>
            </w:pPr>
            <w:r>
              <w:rPr>
                <w:rFonts w:ascii="Helvetica-Bold" w:hAnsi="Helvetica-Bold"/>
                <w:b/>
                <w:color w:val="FFFFFF"/>
                <w:sz w:val="18"/>
              </w:rPr>
              <w:t>Month</w:t>
            </w:r>
          </w:p>
        </w:tc>
        <w:tc>
          <w:tcPr>
            <w:tcW w:type="dxa" w:w="2448"/>
            <w:shd w:val="clear" w:color="auto" w:fill="0B3C5D"/>
          </w:tcPr>
          <w:p>
            <w:pPr>
              <w:spacing w:after="40" w:before="40"/>
              <w:jc w:val="center"/>
            </w:pPr>
            <w:r>
              <w:rPr>
                <w:rFonts w:ascii="Helvetica-Bold" w:hAnsi="Helvetica-Bold"/>
                <w:b/>
                <w:color w:val="FFFFFF"/>
                <w:sz w:val="18"/>
              </w:rPr>
              <w:t>Revenue</w:t>
            </w:r>
          </w:p>
        </w:tc>
        <w:tc>
          <w:tcPr>
            <w:tcW w:type="dxa" w:w="2448"/>
            <w:shd w:val="clear" w:color="auto" w:fill="0B3C5D"/>
          </w:tcPr>
          <w:p>
            <w:pPr>
              <w:spacing w:after="40" w:before="40"/>
              <w:jc w:val="center"/>
            </w:pPr>
            <w:r>
              <w:rPr>
                <w:rFonts w:ascii="Helvetica-Bold" w:hAnsi="Helvetica-Bold"/>
                <w:b/>
                <w:color w:val="FFFFFF"/>
                <w:sz w:val="18"/>
              </w:rPr>
              <w:t>Gross profit</w:t>
            </w:r>
          </w:p>
        </w:tc>
      </w:tr>
      <w:tr>
        <w:tc>
          <w:tcPr>
            <w:tcW w:type="dxa" w:w="3120"/>
          </w:tcPr>
          <w:p>
            <w:pPr>
              <w:spacing w:after="40" w:before="40"/>
            </w:pPr>
            <w:r>
              <w:rPr>
                <w:rFonts w:ascii="Helvetica" w:hAnsi="Helvetica"/>
                <w:color w:val="2B2B2B"/>
                <w:sz w:val="18"/>
              </w:rPr>
              <w:t>2025-01</w:t>
            </w:r>
          </w:p>
        </w:tc>
        <w:tc>
          <w:tcPr>
            <w:tcW w:type="dxa" w:w="3120"/>
          </w:tcPr>
          <w:p>
            <w:pPr>
              <w:spacing w:after="40" w:before="40"/>
            </w:pPr>
            <w:r>
              <w:rPr>
                <w:rFonts w:ascii="Helvetica" w:hAnsi="Helvetica"/>
                <w:color w:val="2B2B2B"/>
                <w:sz w:val="18"/>
              </w:rPr>
              <w:t>$5,660,798.91</w:t>
            </w:r>
          </w:p>
        </w:tc>
        <w:tc>
          <w:tcPr>
            <w:tcW w:type="dxa" w:w="3120"/>
          </w:tcPr>
          <w:p>
            <w:pPr>
              <w:spacing w:after="40" w:before="40"/>
            </w:pPr>
            <w:r>
              <w:rPr>
                <w:rFonts w:ascii="Helvetica" w:hAnsi="Helvetica"/>
                <w:color w:val="2B2B2B"/>
                <w:sz w:val="18"/>
              </w:rPr>
              <w:t>$1,697,658.28</w:t>
            </w:r>
          </w:p>
        </w:tc>
      </w:tr>
      <w:tr>
        <w:tc>
          <w:tcPr>
            <w:tcW w:type="dxa" w:w="3120"/>
            <w:shd w:val="clear" w:color="auto" w:fill="F2F4F5"/>
          </w:tcPr>
          <w:p>
            <w:pPr>
              <w:spacing w:after="40" w:before="40"/>
            </w:pPr>
            <w:r>
              <w:rPr>
                <w:rFonts w:ascii="Helvetica" w:hAnsi="Helvetica"/>
                <w:color w:val="2B2B2B"/>
                <w:sz w:val="18"/>
              </w:rPr>
              <w:t>2025-02</w:t>
            </w:r>
          </w:p>
        </w:tc>
        <w:tc>
          <w:tcPr>
            <w:tcW w:type="dxa" w:w="3120"/>
            <w:shd w:val="clear" w:color="auto" w:fill="F2F4F5"/>
          </w:tcPr>
          <w:p>
            <w:pPr>
              <w:spacing w:after="40" w:before="40"/>
            </w:pPr>
            <w:r>
              <w:rPr>
                <w:rFonts w:ascii="Helvetica" w:hAnsi="Helvetica"/>
                <w:color w:val="2B2B2B"/>
                <w:sz w:val="18"/>
              </w:rPr>
              <w:t>$4,408,264.69</w:t>
            </w:r>
          </w:p>
        </w:tc>
        <w:tc>
          <w:tcPr>
            <w:tcW w:type="dxa" w:w="3120"/>
            <w:shd w:val="clear" w:color="auto" w:fill="F2F4F5"/>
          </w:tcPr>
          <w:p>
            <w:pPr>
              <w:spacing w:after="40" w:before="40"/>
            </w:pPr>
            <w:r>
              <w:rPr>
                <w:rFonts w:ascii="Helvetica" w:hAnsi="Helvetica"/>
                <w:color w:val="2B2B2B"/>
                <w:sz w:val="18"/>
              </w:rPr>
              <w:t>$1,419,464.55</w:t>
            </w:r>
          </w:p>
        </w:tc>
      </w:tr>
      <w:tr>
        <w:tc>
          <w:tcPr>
            <w:tcW w:type="dxa" w:w="3120"/>
          </w:tcPr>
          <w:p>
            <w:pPr>
              <w:spacing w:after="40" w:before="40"/>
            </w:pPr>
            <w:r>
              <w:rPr>
                <w:rFonts w:ascii="Helvetica" w:hAnsi="Helvetica"/>
                <w:color w:val="2B2B2B"/>
                <w:sz w:val="18"/>
              </w:rPr>
              <w:t>2025-03</w:t>
            </w:r>
          </w:p>
        </w:tc>
        <w:tc>
          <w:tcPr>
            <w:tcW w:type="dxa" w:w="3120"/>
          </w:tcPr>
          <w:p>
            <w:pPr>
              <w:spacing w:after="40" w:before="40"/>
            </w:pPr>
            <w:r>
              <w:rPr>
                <w:rFonts w:ascii="Helvetica" w:hAnsi="Helvetica"/>
                <w:color w:val="2B2B2B"/>
                <w:sz w:val="18"/>
              </w:rPr>
              <w:t>$5,234,287.17</w:t>
            </w:r>
          </w:p>
        </w:tc>
        <w:tc>
          <w:tcPr>
            <w:tcW w:type="dxa" w:w="3120"/>
          </w:tcPr>
          <w:p>
            <w:pPr>
              <w:spacing w:after="40" w:before="40"/>
            </w:pPr>
            <w:r>
              <w:rPr>
                <w:rFonts w:ascii="Helvetica" w:hAnsi="Helvetica"/>
                <w:color w:val="2B2B2B"/>
                <w:sz w:val="18"/>
              </w:rPr>
              <w:t>$1,596,816.46</w:t>
            </w:r>
          </w:p>
        </w:tc>
      </w:tr>
      <w:tr>
        <w:tc>
          <w:tcPr>
            <w:tcW w:type="dxa" w:w="3120"/>
            <w:shd w:val="clear" w:color="auto" w:fill="F2F4F5"/>
          </w:tcPr>
          <w:p>
            <w:pPr>
              <w:spacing w:after="40" w:before="40"/>
            </w:pPr>
            <w:r>
              <w:rPr>
                <w:rFonts w:ascii="Helvetica" w:hAnsi="Helvetica"/>
                <w:color w:val="2B2B2B"/>
                <w:sz w:val="18"/>
              </w:rPr>
              <w:t>2025-04</w:t>
            </w:r>
          </w:p>
        </w:tc>
        <w:tc>
          <w:tcPr>
            <w:tcW w:type="dxa" w:w="3120"/>
            <w:shd w:val="clear" w:color="auto" w:fill="F2F4F5"/>
          </w:tcPr>
          <w:p>
            <w:pPr>
              <w:spacing w:after="40" w:before="40"/>
            </w:pPr>
            <w:r>
              <w:rPr>
                <w:rFonts w:ascii="Helvetica" w:hAnsi="Helvetica"/>
                <w:color w:val="2B2B2B"/>
                <w:sz w:val="18"/>
              </w:rPr>
              <w:t>$6,857,863.42</w:t>
            </w:r>
          </w:p>
        </w:tc>
        <w:tc>
          <w:tcPr>
            <w:tcW w:type="dxa" w:w="3120"/>
            <w:shd w:val="clear" w:color="auto" w:fill="F2F4F5"/>
          </w:tcPr>
          <w:p>
            <w:pPr>
              <w:spacing w:after="40" w:before="40"/>
            </w:pPr>
            <w:r>
              <w:rPr>
                <w:rFonts w:ascii="Helvetica" w:hAnsi="Helvetica"/>
                <w:color w:val="2B2B2B"/>
                <w:sz w:val="18"/>
              </w:rPr>
              <w:t>$2,045,858.38</w:t>
            </w:r>
          </w:p>
        </w:tc>
      </w:tr>
      <w:tr>
        <w:tc>
          <w:tcPr>
            <w:tcW w:type="dxa" w:w="3120"/>
          </w:tcPr>
          <w:p>
            <w:pPr>
              <w:spacing w:after="40" w:before="40"/>
            </w:pPr>
            <w:r>
              <w:rPr>
                <w:rFonts w:ascii="Helvetica" w:hAnsi="Helvetica"/>
                <w:color w:val="2B2B2B"/>
                <w:sz w:val="18"/>
              </w:rPr>
              <w:t>2025-05</w:t>
            </w:r>
          </w:p>
        </w:tc>
        <w:tc>
          <w:tcPr>
            <w:tcW w:type="dxa" w:w="3120"/>
          </w:tcPr>
          <w:p>
            <w:pPr>
              <w:spacing w:after="40" w:before="40"/>
            </w:pPr>
            <w:r>
              <w:rPr>
                <w:rFonts w:ascii="Helvetica" w:hAnsi="Helvetica"/>
                <w:color w:val="2B2B2B"/>
                <w:sz w:val="18"/>
              </w:rPr>
              <w:t>$4,558,071.52</w:t>
            </w:r>
          </w:p>
        </w:tc>
        <w:tc>
          <w:tcPr>
            <w:tcW w:type="dxa" w:w="3120"/>
          </w:tcPr>
          <w:p>
            <w:pPr>
              <w:spacing w:after="40" w:before="40"/>
            </w:pPr>
            <w:r>
              <w:rPr>
                <w:rFonts w:ascii="Helvetica" w:hAnsi="Helvetica"/>
                <w:color w:val="2B2B2B"/>
                <w:sz w:val="18"/>
              </w:rPr>
              <w:t>$1,472,577.61</w:t>
            </w:r>
          </w:p>
        </w:tc>
      </w:tr>
      <w:tr>
        <w:tc>
          <w:tcPr>
            <w:tcW w:type="dxa" w:w="3120"/>
            <w:shd w:val="clear" w:color="auto" w:fill="F2F4F5"/>
          </w:tcPr>
          <w:p>
            <w:pPr>
              <w:spacing w:after="40" w:before="40"/>
            </w:pPr>
            <w:r>
              <w:rPr>
                <w:rFonts w:ascii="Helvetica" w:hAnsi="Helvetica"/>
                <w:color w:val="2B2B2B"/>
                <w:sz w:val="18"/>
              </w:rPr>
              <w:t>2025-06</w:t>
            </w:r>
          </w:p>
        </w:tc>
        <w:tc>
          <w:tcPr>
            <w:tcW w:type="dxa" w:w="3120"/>
            <w:shd w:val="clear" w:color="auto" w:fill="F2F4F5"/>
          </w:tcPr>
          <w:p>
            <w:pPr>
              <w:spacing w:after="40" w:before="40"/>
            </w:pPr>
            <w:r>
              <w:rPr>
                <w:rFonts w:ascii="Helvetica" w:hAnsi="Helvetica"/>
                <w:color w:val="2B2B2B"/>
                <w:sz w:val="18"/>
              </w:rPr>
              <w:t>$4,767,230.19</w:t>
            </w:r>
          </w:p>
        </w:tc>
        <w:tc>
          <w:tcPr>
            <w:tcW w:type="dxa" w:w="3120"/>
            <w:shd w:val="clear" w:color="auto" w:fill="F2F4F5"/>
          </w:tcPr>
          <w:p>
            <w:pPr>
              <w:spacing w:after="40" w:before="40"/>
            </w:pPr>
            <w:r>
              <w:rPr>
                <w:rFonts w:ascii="Helvetica" w:hAnsi="Helvetica"/>
                <w:color w:val="2B2B2B"/>
                <w:sz w:val="18"/>
              </w:rPr>
              <w:t>$1,520,809.66</w:t>
            </w:r>
          </w:p>
        </w:tc>
      </w:tr>
      <w:tr>
        <w:tc>
          <w:tcPr>
            <w:tcW w:type="dxa" w:w="3120"/>
          </w:tcPr>
          <w:p>
            <w:pPr>
              <w:spacing w:after="40" w:before="40"/>
            </w:pPr>
            <w:r>
              <w:rPr>
                <w:rFonts w:ascii="Helvetica" w:hAnsi="Helvetica"/>
                <w:color w:val="2B2B2B"/>
                <w:sz w:val="18"/>
              </w:rPr>
              <w:t>2025-07</w:t>
            </w:r>
          </w:p>
        </w:tc>
        <w:tc>
          <w:tcPr>
            <w:tcW w:type="dxa" w:w="3120"/>
          </w:tcPr>
          <w:p>
            <w:pPr>
              <w:spacing w:after="40" w:before="40"/>
            </w:pPr>
            <w:r>
              <w:rPr>
                <w:rFonts w:ascii="Helvetica" w:hAnsi="Helvetica"/>
                <w:color w:val="2B2B2B"/>
                <w:sz w:val="18"/>
              </w:rPr>
              <w:t>$4,717,309.03</w:t>
            </w:r>
          </w:p>
        </w:tc>
        <w:tc>
          <w:tcPr>
            <w:tcW w:type="dxa" w:w="3120"/>
          </w:tcPr>
          <w:p>
            <w:pPr>
              <w:spacing w:after="40" w:before="40"/>
            </w:pPr>
            <w:r>
              <w:rPr>
                <w:rFonts w:ascii="Helvetica" w:hAnsi="Helvetica"/>
                <w:color w:val="2B2B2B"/>
                <w:sz w:val="18"/>
              </w:rPr>
              <w:t>$1,392,763.83</w:t>
            </w:r>
          </w:p>
        </w:tc>
      </w:tr>
      <w:tr>
        <w:tc>
          <w:tcPr>
            <w:tcW w:type="dxa" w:w="3120"/>
            <w:shd w:val="clear" w:color="auto" w:fill="F2F4F5"/>
          </w:tcPr>
          <w:p>
            <w:pPr>
              <w:spacing w:after="40" w:before="40"/>
            </w:pPr>
            <w:r>
              <w:rPr>
                <w:rFonts w:ascii="Helvetica" w:hAnsi="Helvetica"/>
                <w:color w:val="2B2B2B"/>
                <w:sz w:val="18"/>
              </w:rPr>
              <w:t>2025-08</w:t>
            </w:r>
          </w:p>
        </w:tc>
        <w:tc>
          <w:tcPr>
            <w:tcW w:type="dxa" w:w="3120"/>
            <w:shd w:val="clear" w:color="auto" w:fill="F2F4F5"/>
          </w:tcPr>
          <w:p>
            <w:pPr>
              <w:spacing w:after="40" w:before="40"/>
            </w:pPr>
            <w:r>
              <w:rPr>
                <w:rFonts w:ascii="Helvetica" w:hAnsi="Helvetica"/>
                <w:color w:val="2B2B2B"/>
                <w:sz w:val="18"/>
              </w:rPr>
              <w:t>$3,693,598.05</w:t>
            </w:r>
          </w:p>
        </w:tc>
        <w:tc>
          <w:tcPr>
            <w:tcW w:type="dxa" w:w="3120"/>
            <w:shd w:val="clear" w:color="auto" w:fill="F2F4F5"/>
          </w:tcPr>
          <w:p>
            <w:pPr>
              <w:spacing w:after="40" w:before="40"/>
            </w:pPr>
            <w:r>
              <w:rPr>
                <w:rFonts w:ascii="Helvetica" w:hAnsi="Helvetica"/>
                <w:color w:val="2B2B2B"/>
                <w:sz w:val="18"/>
              </w:rPr>
              <w:t>$1,119,088.46</w:t>
            </w:r>
          </w:p>
        </w:tc>
      </w:tr>
      <w:tr>
        <w:tc>
          <w:tcPr>
            <w:tcW w:type="dxa" w:w="3120"/>
          </w:tcPr>
          <w:p>
            <w:pPr>
              <w:spacing w:after="40" w:before="40"/>
            </w:pPr>
            <w:r>
              <w:rPr>
                <w:rFonts w:ascii="Helvetica" w:hAnsi="Helvetica"/>
                <w:color w:val="2B2B2B"/>
                <w:sz w:val="18"/>
              </w:rPr>
              <w:t>2025-09</w:t>
            </w:r>
          </w:p>
        </w:tc>
        <w:tc>
          <w:tcPr>
            <w:tcW w:type="dxa" w:w="3120"/>
          </w:tcPr>
          <w:p>
            <w:pPr>
              <w:spacing w:after="40" w:before="40"/>
            </w:pPr>
            <w:r>
              <w:rPr>
                <w:rFonts w:ascii="Helvetica" w:hAnsi="Helvetica"/>
                <w:color w:val="2B2B2B"/>
                <w:sz w:val="18"/>
              </w:rPr>
              <w:t>$6,576,280.41</w:t>
            </w:r>
          </w:p>
        </w:tc>
        <w:tc>
          <w:tcPr>
            <w:tcW w:type="dxa" w:w="3120"/>
          </w:tcPr>
          <w:p>
            <w:pPr>
              <w:spacing w:after="40" w:before="40"/>
            </w:pPr>
            <w:r>
              <w:rPr>
                <w:rFonts w:ascii="Helvetica" w:hAnsi="Helvetica"/>
                <w:color w:val="2B2B2B"/>
                <w:sz w:val="18"/>
              </w:rPr>
              <w:t>$1,916,811.12</w:t>
            </w:r>
          </w:p>
        </w:tc>
      </w:tr>
      <w:tr>
        <w:tc>
          <w:tcPr>
            <w:tcW w:type="dxa" w:w="3120"/>
            <w:shd w:val="clear" w:color="auto" w:fill="F2F4F5"/>
          </w:tcPr>
          <w:p>
            <w:pPr>
              <w:spacing w:after="40" w:before="40"/>
            </w:pPr>
            <w:r>
              <w:rPr>
                <w:rFonts w:ascii="Helvetica" w:hAnsi="Helvetica"/>
                <w:color w:val="2B2B2B"/>
                <w:sz w:val="18"/>
              </w:rPr>
              <w:t>2025-10</w:t>
            </w:r>
          </w:p>
        </w:tc>
        <w:tc>
          <w:tcPr>
            <w:tcW w:type="dxa" w:w="3120"/>
            <w:shd w:val="clear" w:color="auto" w:fill="F2F4F5"/>
          </w:tcPr>
          <w:p>
            <w:pPr>
              <w:spacing w:after="40" w:before="40"/>
            </w:pPr>
            <w:r>
              <w:rPr>
                <w:rFonts w:ascii="Helvetica" w:hAnsi="Helvetica"/>
                <w:color w:val="2B2B2B"/>
                <w:sz w:val="18"/>
              </w:rPr>
              <w:t>$7,979,546.15</w:t>
            </w:r>
          </w:p>
        </w:tc>
        <w:tc>
          <w:tcPr>
            <w:tcW w:type="dxa" w:w="3120"/>
            <w:shd w:val="clear" w:color="auto" w:fill="F2F4F5"/>
          </w:tcPr>
          <w:p>
            <w:pPr>
              <w:spacing w:after="40" w:before="40"/>
            </w:pPr>
            <w:r>
              <w:rPr>
                <w:rFonts w:ascii="Helvetica" w:hAnsi="Helvetica"/>
                <w:color w:val="2B2B2B"/>
                <w:sz w:val="18"/>
              </w:rPr>
              <w:t>$2,379,098.88</w:t>
            </w:r>
          </w:p>
        </w:tc>
      </w:tr>
      <w:tr>
        <w:tc>
          <w:tcPr>
            <w:tcW w:type="dxa" w:w="3120"/>
          </w:tcPr>
          <w:p>
            <w:pPr>
              <w:spacing w:after="40" w:before="40"/>
            </w:pPr>
            <w:r>
              <w:rPr>
                <w:rFonts w:ascii="Helvetica" w:hAnsi="Helvetica"/>
                <w:color w:val="2B2B2B"/>
                <w:sz w:val="18"/>
              </w:rPr>
              <w:t>2025-11</w:t>
            </w:r>
          </w:p>
        </w:tc>
        <w:tc>
          <w:tcPr>
            <w:tcW w:type="dxa" w:w="3120"/>
          </w:tcPr>
          <w:p>
            <w:pPr>
              <w:spacing w:after="40" w:before="40"/>
            </w:pPr>
            <w:r>
              <w:rPr>
                <w:rFonts w:ascii="Helvetica" w:hAnsi="Helvetica"/>
                <w:color w:val="2B2B2B"/>
                <w:sz w:val="18"/>
              </w:rPr>
              <w:t>$6,710,974.81</w:t>
            </w:r>
          </w:p>
        </w:tc>
        <w:tc>
          <w:tcPr>
            <w:tcW w:type="dxa" w:w="3120"/>
          </w:tcPr>
          <w:p>
            <w:pPr>
              <w:spacing w:after="40" w:before="40"/>
            </w:pPr>
            <w:r>
              <w:rPr>
                <w:rFonts w:ascii="Helvetica" w:hAnsi="Helvetica"/>
                <w:color w:val="2B2B2B"/>
                <w:sz w:val="18"/>
              </w:rPr>
              <w:t>$1,945,670.78</w:t>
            </w:r>
          </w:p>
        </w:tc>
      </w:tr>
      <w:tr>
        <w:tc>
          <w:tcPr>
            <w:tcW w:type="dxa" w:w="3120"/>
            <w:shd w:val="clear" w:color="auto" w:fill="F2F4F5"/>
          </w:tcPr>
          <w:p>
            <w:pPr>
              <w:spacing w:after="40" w:before="40"/>
            </w:pPr>
            <w:r>
              <w:rPr>
                <w:rFonts w:ascii="Helvetica" w:hAnsi="Helvetica"/>
                <w:color w:val="2B2B2B"/>
                <w:sz w:val="18"/>
              </w:rPr>
              <w:t>2025-12</w:t>
            </w:r>
          </w:p>
        </w:tc>
        <w:tc>
          <w:tcPr>
            <w:tcW w:type="dxa" w:w="3120"/>
            <w:shd w:val="clear" w:color="auto" w:fill="F2F4F5"/>
          </w:tcPr>
          <w:p>
            <w:pPr>
              <w:spacing w:after="40" w:before="40"/>
            </w:pPr>
            <w:r>
              <w:rPr>
                <w:rFonts w:ascii="Helvetica" w:hAnsi="Helvetica"/>
                <w:color w:val="2B2B2B"/>
                <w:sz w:val="18"/>
              </w:rPr>
              <w:t>$7,982,078.21</w:t>
            </w:r>
          </w:p>
        </w:tc>
        <w:tc>
          <w:tcPr>
            <w:tcW w:type="dxa" w:w="3120"/>
            <w:shd w:val="clear" w:color="auto" w:fill="F2F4F5"/>
          </w:tcPr>
          <w:p>
            <w:pPr>
              <w:spacing w:after="40" w:before="40"/>
            </w:pPr>
            <w:r>
              <w:rPr>
                <w:rFonts w:ascii="Helvetica" w:hAnsi="Helvetica"/>
                <w:color w:val="2B2B2B"/>
                <w:sz w:val="18"/>
              </w:rPr>
              <w:t>$2,226,533.72</w:t>
            </w:r>
          </w:p>
        </w:tc>
      </w:tr>
    </w:tbl>
    <w:p>
      <w:pPr>
        <w:spacing w:after="40"/>
      </w:pPr>
      <w:r>
        <w:rPr>
          <w:rFonts w:ascii="Helvetica" w:hAnsi="Helvetica"/>
          <w:b w:val="0"/>
          <w:i w:val="0"/>
          <w:color w:val="2B2B2B"/>
          <w:sz w:val="22"/>
        </w:rPr>
      </w:r>
    </w:p>
    <w:p>
      <w:pPr>
        <w:spacing w:after="120"/>
      </w:pPr>
      <w:r>
        <w:rPr>
          <w:rFonts w:ascii="Helvetica" w:hAnsi="Helvetica"/>
          <w:b w:val="0"/>
          <w:i w:val="0"/>
          <w:color w:val="2B2B2B"/>
          <w:sz w:val="22"/>
        </w:rPr>
        <w:t>Revenue was strongest in the fourth quarter, with December ($7,982,078.21) and October ($7,979,546.15) the largest monthly revenue months, while August recorded the lowest monthly revenue at $3,693,598.05. Gross profit followed a similar pattern, peaking in October at $2,379,098.88.</w:t>
      </w:r>
    </w:p>
    <w:p>
      <w:r>
        <w:br w:type="page"/>
      </w:r>
    </w:p>
    <w:p>
      <w:pPr>
        <w:spacing w:before="320" w:after="160"/>
      </w:pPr>
      <w:r>
        <w:rPr>
          <w:rFonts w:ascii="Helvetica-Bold" w:hAnsi="Helvetica-Bold"/>
          <w:b/>
          <w:color w:val="0B3C5D"/>
          <w:sz w:val="48"/>
        </w:rPr>
        <w:t>Category performance</w:t>
      </w:r>
    </w:p>
    <w:p>
      <w:pPr>
        <w:spacing w:after="120"/>
      </w:pPr>
      <w:r>
        <w:rPr>
          <w:rFonts w:ascii="Helvetica" w:hAnsi="Helvetica"/>
          <w:b w:val="0"/>
          <w:i w:val="0"/>
          <w:color w:val="2B2B2B"/>
          <w:sz w:val="22"/>
        </w:rPr>
        <w:t>Material Handling was Acme Co’s largest category in FY2025, generating $38,734,228.05, equal to 56.0% of total revenue. Electrical was the second-largest category at $12,203,595.88, or 17.6% of revenue. The remaining eight categories together accounted for the balance of revenue, with Packaging at 6.4%, Tools at 5.4%, Safety &amp; PPE at 4.2%, Janitorial at 3.7%, Office Supplies at 2.2%, Abrasives at 1.9%, Fasteners at 1.7%, and Adhesives at 0.9%.</w:t>
      </w:r>
    </w:p>
    <w:tbl>
      <w:tblPr>
        <w:tblW w:type="auto" w:w="0"/>
        <w:tblLayout w:type="fixed"/>
        <w:tblLook w:firstColumn="1" w:firstRow="1" w:lastColumn="0" w:lastRow="0" w:noHBand="0" w:noVBand="1" w:val="04A0"/>
      </w:tblPr>
      <w:tblGrid>
        <w:gridCol w:w="3120"/>
        <w:gridCol w:w="3120"/>
        <w:gridCol w:w="3120"/>
      </w:tblGrid>
      <w:tr>
        <w:tc>
          <w:tcPr>
            <w:tcW w:type="dxa" w:w="2880"/>
            <w:shd w:val="clear" w:color="auto" w:fill="0B3C5D"/>
          </w:tcPr>
          <w:p>
            <w:pPr>
              <w:spacing w:after="40" w:before="40"/>
              <w:jc w:val="center"/>
            </w:pPr>
            <w:r>
              <w:rPr>
                <w:rFonts w:ascii="Helvetica-Bold" w:hAnsi="Helvetica-Bold"/>
                <w:b/>
                <w:color w:val="FFFFFF"/>
                <w:sz w:val="20"/>
              </w:rPr>
              <w:t>Category</w:t>
            </w:r>
          </w:p>
        </w:tc>
        <w:tc>
          <w:tcPr>
            <w:tcW w:type="dxa" w:w="3168"/>
            <w:shd w:val="clear" w:color="auto" w:fill="0B3C5D"/>
          </w:tcPr>
          <w:p>
            <w:pPr>
              <w:spacing w:after="40" w:before="40"/>
              <w:jc w:val="center"/>
            </w:pPr>
            <w:r>
              <w:rPr>
                <w:rFonts w:ascii="Helvetica-Bold" w:hAnsi="Helvetica-Bold"/>
                <w:b/>
                <w:color w:val="FFFFFF"/>
                <w:sz w:val="20"/>
              </w:rPr>
              <w:t>Revenue</w:t>
            </w:r>
          </w:p>
        </w:tc>
        <w:tc>
          <w:tcPr>
            <w:tcW w:type="dxa" w:w="3312"/>
            <w:shd w:val="clear" w:color="auto" w:fill="0B3C5D"/>
          </w:tcPr>
          <w:p>
            <w:pPr>
              <w:spacing w:after="40" w:before="40"/>
              <w:jc w:val="center"/>
            </w:pPr>
            <w:r>
              <w:rPr>
                <w:rFonts w:ascii="Helvetica-Bold" w:hAnsi="Helvetica-Bold"/>
                <w:b/>
                <w:color w:val="FFFFFF"/>
                <w:sz w:val="20"/>
              </w:rPr>
              <w:t>Share of revenue</w:t>
            </w:r>
          </w:p>
        </w:tc>
      </w:tr>
      <w:tr>
        <w:tc>
          <w:tcPr>
            <w:tcW w:type="dxa" w:w="3120"/>
          </w:tcPr>
          <w:p>
            <w:pPr>
              <w:spacing w:after="40" w:before="40"/>
            </w:pPr>
            <w:r>
              <w:rPr>
                <w:rFonts w:ascii="Helvetica" w:hAnsi="Helvetica"/>
                <w:color w:val="2B2B2B"/>
                <w:sz w:val="20"/>
              </w:rPr>
              <w:t>Material Handling</w:t>
            </w:r>
          </w:p>
        </w:tc>
        <w:tc>
          <w:tcPr>
            <w:tcW w:type="dxa" w:w="3120"/>
          </w:tcPr>
          <w:p>
            <w:pPr>
              <w:spacing w:after="40" w:before="40"/>
            </w:pPr>
            <w:r>
              <w:rPr>
                <w:rFonts w:ascii="Helvetica" w:hAnsi="Helvetica"/>
                <w:color w:val="2B2B2B"/>
                <w:sz w:val="20"/>
              </w:rPr>
              <w:t>$38,734,228.05</w:t>
            </w:r>
          </w:p>
        </w:tc>
        <w:tc>
          <w:tcPr>
            <w:tcW w:type="dxa" w:w="3120"/>
          </w:tcPr>
          <w:p>
            <w:pPr>
              <w:spacing w:after="40" w:before="40"/>
            </w:pPr>
            <w:r>
              <w:rPr>
                <w:rFonts w:ascii="Helvetica" w:hAnsi="Helvetica"/>
                <w:color w:val="2B2B2B"/>
                <w:sz w:val="20"/>
              </w:rPr>
              <w:t>56.0%</w:t>
            </w:r>
          </w:p>
        </w:tc>
      </w:tr>
      <w:tr>
        <w:tc>
          <w:tcPr>
            <w:tcW w:type="dxa" w:w="3120"/>
            <w:shd w:val="clear" w:color="auto" w:fill="F2F4F5"/>
          </w:tcPr>
          <w:p>
            <w:pPr>
              <w:spacing w:after="40" w:before="40"/>
            </w:pPr>
            <w:r>
              <w:rPr>
                <w:rFonts w:ascii="Helvetica" w:hAnsi="Helvetica"/>
                <w:color w:val="2B2B2B"/>
                <w:sz w:val="20"/>
              </w:rPr>
              <w:t>Electrical</w:t>
            </w:r>
          </w:p>
        </w:tc>
        <w:tc>
          <w:tcPr>
            <w:tcW w:type="dxa" w:w="3120"/>
            <w:shd w:val="clear" w:color="auto" w:fill="F2F4F5"/>
          </w:tcPr>
          <w:p>
            <w:pPr>
              <w:spacing w:after="40" w:before="40"/>
            </w:pPr>
            <w:r>
              <w:rPr>
                <w:rFonts w:ascii="Helvetica" w:hAnsi="Helvetica"/>
                <w:color w:val="2B2B2B"/>
                <w:sz w:val="20"/>
              </w:rPr>
              <w:t>$12,203,595.88</w:t>
            </w:r>
          </w:p>
        </w:tc>
        <w:tc>
          <w:tcPr>
            <w:tcW w:type="dxa" w:w="3120"/>
            <w:shd w:val="clear" w:color="auto" w:fill="F2F4F5"/>
          </w:tcPr>
          <w:p>
            <w:pPr>
              <w:spacing w:after="40" w:before="40"/>
            </w:pPr>
            <w:r>
              <w:rPr>
                <w:rFonts w:ascii="Helvetica" w:hAnsi="Helvetica"/>
                <w:color w:val="2B2B2B"/>
                <w:sz w:val="20"/>
              </w:rPr>
              <w:t>17.6%</w:t>
            </w:r>
          </w:p>
        </w:tc>
      </w:tr>
      <w:tr>
        <w:tc>
          <w:tcPr>
            <w:tcW w:type="dxa" w:w="3120"/>
          </w:tcPr>
          <w:p>
            <w:pPr>
              <w:spacing w:after="40" w:before="40"/>
            </w:pPr>
            <w:r>
              <w:rPr>
                <w:rFonts w:ascii="Helvetica" w:hAnsi="Helvetica"/>
                <w:color w:val="2B2B2B"/>
                <w:sz w:val="20"/>
              </w:rPr>
              <w:t>Packaging</w:t>
            </w:r>
          </w:p>
        </w:tc>
        <w:tc>
          <w:tcPr>
            <w:tcW w:type="dxa" w:w="3120"/>
          </w:tcPr>
          <w:p>
            <w:pPr>
              <w:spacing w:after="40" w:before="40"/>
            </w:pPr>
            <w:r>
              <w:rPr>
                <w:rFonts w:ascii="Helvetica" w:hAnsi="Helvetica"/>
                <w:color w:val="2B2B2B"/>
                <w:sz w:val="20"/>
              </w:rPr>
              <w:t>$4,425,870.55</w:t>
            </w:r>
          </w:p>
        </w:tc>
        <w:tc>
          <w:tcPr>
            <w:tcW w:type="dxa" w:w="3120"/>
          </w:tcPr>
          <w:p>
            <w:pPr>
              <w:spacing w:after="40" w:before="40"/>
            </w:pPr>
            <w:r>
              <w:rPr>
                <w:rFonts w:ascii="Helvetica" w:hAnsi="Helvetica"/>
                <w:color w:val="2B2B2B"/>
                <w:sz w:val="20"/>
              </w:rPr>
              <w:t>6.4%</w:t>
            </w:r>
          </w:p>
        </w:tc>
      </w:tr>
      <w:tr>
        <w:tc>
          <w:tcPr>
            <w:tcW w:type="dxa" w:w="3120"/>
            <w:shd w:val="clear" w:color="auto" w:fill="F2F4F5"/>
          </w:tcPr>
          <w:p>
            <w:pPr>
              <w:spacing w:after="40" w:before="40"/>
            </w:pPr>
            <w:r>
              <w:rPr>
                <w:rFonts w:ascii="Helvetica" w:hAnsi="Helvetica"/>
                <w:color w:val="2B2B2B"/>
                <w:sz w:val="20"/>
              </w:rPr>
              <w:t>Tools</w:t>
            </w:r>
          </w:p>
        </w:tc>
        <w:tc>
          <w:tcPr>
            <w:tcW w:type="dxa" w:w="3120"/>
            <w:shd w:val="clear" w:color="auto" w:fill="F2F4F5"/>
          </w:tcPr>
          <w:p>
            <w:pPr>
              <w:spacing w:after="40" w:before="40"/>
            </w:pPr>
            <w:r>
              <w:rPr>
                <w:rFonts w:ascii="Helvetica" w:hAnsi="Helvetica"/>
                <w:color w:val="2B2B2B"/>
                <w:sz w:val="20"/>
              </w:rPr>
              <w:t>$3,755,547.27</w:t>
            </w:r>
          </w:p>
        </w:tc>
        <w:tc>
          <w:tcPr>
            <w:tcW w:type="dxa" w:w="3120"/>
            <w:shd w:val="clear" w:color="auto" w:fill="F2F4F5"/>
          </w:tcPr>
          <w:p>
            <w:pPr>
              <w:spacing w:after="40" w:before="40"/>
            </w:pPr>
            <w:r>
              <w:rPr>
                <w:rFonts w:ascii="Helvetica" w:hAnsi="Helvetica"/>
                <w:color w:val="2B2B2B"/>
                <w:sz w:val="20"/>
              </w:rPr>
              <w:t>5.4%</w:t>
            </w:r>
          </w:p>
        </w:tc>
      </w:tr>
      <w:tr>
        <w:tc>
          <w:tcPr>
            <w:tcW w:type="dxa" w:w="3120"/>
          </w:tcPr>
          <w:p>
            <w:pPr>
              <w:spacing w:after="40" w:before="40"/>
            </w:pPr>
            <w:r>
              <w:rPr>
                <w:rFonts w:ascii="Helvetica" w:hAnsi="Helvetica"/>
                <w:color w:val="2B2B2B"/>
                <w:sz w:val="20"/>
              </w:rPr>
              <w:t>Safety &amp; PPE</w:t>
            </w:r>
          </w:p>
        </w:tc>
        <w:tc>
          <w:tcPr>
            <w:tcW w:type="dxa" w:w="3120"/>
          </w:tcPr>
          <w:p>
            <w:pPr>
              <w:spacing w:after="40" w:before="40"/>
            </w:pPr>
            <w:r>
              <w:rPr>
                <w:rFonts w:ascii="Helvetica" w:hAnsi="Helvetica"/>
                <w:color w:val="2B2B2B"/>
                <w:sz w:val="20"/>
              </w:rPr>
              <w:t>$2,914,085.72</w:t>
            </w:r>
          </w:p>
        </w:tc>
        <w:tc>
          <w:tcPr>
            <w:tcW w:type="dxa" w:w="3120"/>
          </w:tcPr>
          <w:p>
            <w:pPr>
              <w:spacing w:after="40" w:before="40"/>
            </w:pPr>
            <w:r>
              <w:rPr>
                <w:rFonts w:ascii="Helvetica" w:hAnsi="Helvetica"/>
                <w:color w:val="2B2B2B"/>
                <w:sz w:val="20"/>
              </w:rPr>
              <w:t>4.2%</w:t>
            </w:r>
          </w:p>
        </w:tc>
      </w:tr>
      <w:tr>
        <w:tc>
          <w:tcPr>
            <w:tcW w:type="dxa" w:w="3120"/>
            <w:shd w:val="clear" w:color="auto" w:fill="F2F4F5"/>
          </w:tcPr>
          <w:p>
            <w:pPr>
              <w:spacing w:after="40" w:before="40"/>
            </w:pPr>
            <w:r>
              <w:rPr>
                <w:rFonts w:ascii="Helvetica" w:hAnsi="Helvetica"/>
                <w:color w:val="2B2B2B"/>
                <w:sz w:val="20"/>
              </w:rPr>
              <w:t>Janitorial</w:t>
            </w:r>
          </w:p>
        </w:tc>
        <w:tc>
          <w:tcPr>
            <w:tcW w:type="dxa" w:w="3120"/>
            <w:shd w:val="clear" w:color="auto" w:fill="F2F4F5"/>
          </w:tcPr>
          <w:p>
            <w:pPr>
              <w:spacing w:after="40" w:before="40"/>
            </w:pPr>
            <w:r>
              <w:rPr>
                <w:rFonts w:ascii="Helvetica" w:hAnsi="Helvetica"/>
                <w:color w:val="2B2B2B"/>
                <w:sz w:val="20"/>
              </w:rPr>
              <w:t>$2,541,723.64</w:t>
            </w:r>
          </w:p>
        </w:tc>
        <w:tc>
          <w:tcPr>
            <w:tcW w:type="dxa" w:w="3120"/>
            <w:shd w:val="clear" w:color="auto" w:fill="F2F4F5"/>
          </w:tcPr>
          <w:p>
            <w:pPr>
              <w:spacing w:after="40" w:before="40"/>
            </w:pPr>
            <w:r>
              <w:rPr>
                <w:rFonts w:ascii="Helvetica" w:hAnsi="Helvetica"/>
                <w:color w:val="2B2B2B"/>
                <w:sz w:val="20"/>
              </w:rPr>
              <w:t>3.7%</w:t>
            </w:r>
          </w:p>
        </w:tc>
      </w:tr>
      <w:tr>
        <w:tc>
          <w:tcPr>
            <w:tcW w:type="dxa" w:w="3120"/>
          </w:tcPr>
          <w:p>
            <w:pPr>
              <w:spacing w:after="40" w:before="40"/>
            </w:pPr>
            <w:r>
              <w:rPr>
                <w:rFonts w:ascii="Helvetica" w:hAnsi="Helvetica"/>
                <w:color w:val="2B2B2B"/>
                <w:sz w:val="20"/>
              </w:rPr>
              <w:t>Office Supplies</w:t>
            </w:r>
          </w:p>
        </w:tc>
        <w:tc>
          <w:tcPr>
            <w:tcW w:type="dxa" w:w="3120"/>
          </w:tcPr>
          <w:p>
            <w:pPr>
              <w:spacing w:after="40" w:before="40"/>
            </w:pPr>
            <w:r>
              <w:rPr>
                <w:rFonts w:ascii="Helvetica" w:hAnsi="Helvetica"/>
                <w:color w:val="2B2B2B"/>
                <w:sz w:val="20"/>
              </w:rPr>
              <w:t>$1,512,964.36</w:t>
            </w:r>
          </w:p>
        </w:tc>
        <w:tc>
          <w:tcPr>
            <w:tcW w:type="dxa" w:w="3120"/>
          </w:tcPr>
          <w:p>
            <w:pPr>
              <w:spacing w:after="40" w:before="40"/>
            </w:pPr>
            <w:r>
              <w:rPr>
                <w:rFonts w:ascii="Helvetica" w:hAnsi="Helvetica"/>
                <w:color w:val="2B2B2B"/>
                <w:sz w:val="20"/>
              </w:rPr>
              <w:t>2.2%</w:t>
            </w:r>
          </w:p>
        </w:tc>
      </w:tr>
      <w:tr>
        <w:tc>
          <w:tcPr>
            <w:tcW w:type="dxa" w:w="3120"/>
            <w:shd w:val="clear" w:color="auto" w:fill="F2F4F5"/>
          </w:tcPr>
          <w:p>
            <w:pPr>
              <w:spacing w:after="40" w:before="40"/>
            </w:pPr>
            <w:r>
              <w:rPr>
                <w:rFonts w:ascii="Helvetica" w:hAnsi="Helvetica"/>
                <w:color w:val="2B2B2B"/>
                <w:sz w:val="20"/>
              </w:rPr>
              <w:t>Abrasives</w:t>
            </w:r>
          </w:p>
        </w:tc>
        <w:tc>
          <w:tcPr>
            <w:tcW w:type="dxa" w:w="3120"/>
            <w:shd w:val="clear" w:color="auto" w:fill="F2F4F5"/>
          </w:tcPr>
          <w:p>
            <w:pPr>
              <w:spacing w:after="40" w:before="40"/>
            </w:pPr>
            <w:r>
              <w:rPr>
                <w:rFonts w:ascii="Helvetica" w:hAnsi="Helvetica"/>
                <w:color w:val="2B2B2B"/>
                <w:sz w:val="20"/>
              </w:rPr>
              <w:t>$1,309,985.75</w:t>
            </w:r>
          </w:p>
        </w:tc>
        <w:tc>
          <w:tcPr>
            <w:tcW w:type="dxa" w:w="3120"/>
            <w:shd w:val="clear" w:color="auto" w:fill="F2F4F5"/>
          </w:tcPr>
          <w:p>
            <w:pPr>
              <w:spacing w:after="40" w:before="40"/>
            </w:pPr>
            <w:r>
              <w:rPr>
                <w:rFonts w:ascii="Helvetica" w:hAnsi="Helvetica"/>
                <w:color w:val="2B2B2B"/>
                <w:sz w:val="20"/>
              </w:rPr>
              <w:t>1.9%</w:t>
            </w:r>
          </w:p>
        </w:tc>
      </w:tr>
      <w:tr>
        <w:tc>
          <w:tcPr>
            <w:tcW w:type="dxa" w:w="3120"/>
          </w:tcPr>
          <w:p>
            <w:pPr>
              <w:spacing w:after="40" w:before="40"/>
            </w:pPr>
            <w:r>
              <w:rPr>
                <w:rFonts w:ascii="Helvetica" w:hAnsi="Helvetica"/>
                <w:color w:val="2B2B2B"/>
                <w:sz w:val="20"/>
              </w:rPr>
              <w:t>Fasteners</w:t>
            </w:r>
          </w:p>
        </w:tc>
        <w:tc>
          <w:tcPr>
            <w:tcW w:type="dxa" w:w="3120"/>
          </w:tcPr>
          <w:p>
            <w:pPr>
              <w:spacing w:after="40" w:before="40"/>
            </w:pPr>
            <w:r>
              <w:rPr>
                <w:rFonts w:ascii="Helvetica" w:hAnsi="Helvetica"/>
                <w:color w:val="2B2B2B"/>
                <w:sz w:val="20"/>
              </w:rPr>
              <w:t>$1,147,869.20</w:t>
            </w:r>
          </w:p>
        </w:tc>
        <w:tc>
          <w:tcPr>
            <w:tcW w:type="dxa" w:w="3120"/>
          </w:tcPr>
          <w:p>
            <w:pPr>
              <w:spacing w:after="40" w:before="40"/>
            </w:pPr>
            <w:r>
              <w:rPr>
                <w:rFonts w:ascii="Helvetica" w:hAnsi="Helvetica"/>
                <w:color w:val="2B2B2B"/>
                <w:sz w:val="20"/>
              </w:rPr>
              <w:t>1.7%</w:t>
            </w:r>
          </w:p>
        </w:tc>
      </w:tr>
      <w:tr>
        <w:tc>
          <w:tcPr>
            <w:tcW w:type="dxa" w:w="3120"/>
            <w:shd w:val="clear" w:color="auto" w:fill="F2F4F5"/>
          </w:tcPr>
          <w:p>
            <w:pPr>
              <w:spacing w:after="40" w:before="40"/>
            </w:pPr>
            <w:r>
              <w:rPr>
                <w:rFonts w:ascii="Helvetica" w:hAnsi="Helvetica"/>
                <w:color w:val="2B2B2B"/>
                <w:sz w:val="20"/>
              </w:rPr>
              <w:t>Adhesives</w:t>
            </w:r>
          </w:p>
        </w:tc>
        <w:tc>
          <w:tcPr>
            <w:tcW w:type="dxa" w:w="3120"/>
            <w:shd w:val="clear" w:color="auto" w:fill="F2F4F5"/>
          </w:tcPr>
          <w:p>
            <w:pPr>
              <w:spacing w:after="40" w:before="40"/>
            </w:pPr>
            <w:r>
              <w:rPr>
                <w:rFonts w:ascii="Helvetica" w:hAnsi="Helvetica"/>
                <w:color w:val="2B2B2B"/>
                <w:sz w:val="20"/>
              </w:rPr>
              <w:t>$600,432.14</w:t>
            </w:r>
          </w:p>
        </w:tc>
        <w:tc>
          <w:tcPr>
            <w:tcW w:type="dxa" w:w="3120"/>
            <w:shd w:val="clear" w:color="auto" w:fill="F2F4F5"/>
          </w:tcPr>
          <w:p>
            <w:pPr>
              <w:spacing w:after="40" w:before="40"/>
            </w:pPr>
            <w:r>
              <w:rPr>
                <w:rFonts w:ascii="Helvetica" w:hAnsi="Helvetica"/>
                <w:color w:val="2B2B2B"/>
                <w:sz w:val="20"/>
              </w:rPr>
              <w:t>0.9%</w:t>
            </w:r>
          </w:p>
        </w:tc>
      </w:tr>
    </w:tbl>
    <w:p>
      <w:pPr>
        <w:spacing w:after="40"/>
      </w:pPr>
      <w:r>
        <w:rPr>
          <w:rFonts w:ascii="Helvetica" w:hAnsi="Helvetica"/>
          <w:b w:val="0"/>
          <w:i w:val="0"/>
          <w:color w:val="2B2B2B"/>
          <w:sz w:val="22"/>
        </w:rPr>
      </w:r>
    </w:p>
    <w:p>
      <w:pPr>
        <w:spacing w:after="120"/>
      </w:pPr>
      <w:r>
        <w:rPr>
          <w:rFonts w:ascii="Helvetica" w:hAnsi="Helvetica"/>
          <w:b w:val="0"/>
          <w:i w:val="0"/>
          <w:color w:val="2B2B2B"/>
          <w:sz w:val="22"/>
        </w:rPr>
        <w:t>The concentration of revenue in Material Handling (56.0% of revenue) is a key area of focus and is addressed as a risk factor in this report.</w:t>
      </w:r>
    </w:p>
    <w:p>
      <w:r>
        <w:br w:type="page"/>
      </w:r>
    </w:p>
    <w:p>
      <w:pPr>
        <w:spacing w:before="320" w:after="160"/>
      </w:pPr>
      <w:r>
        <w:rPr>
          <w:rFonts w:ascii="Helvetica-Bold" w:hAnsi="Helvetica-Bold"/>
          <w:b/>
          <w:color w:val="0B3C5D"/>
          <w:sz w:val="48"/>
        </w:rPr>
        <w:t>Customer and geographic performance</w:t>
      </w:r>
    </w:p>
    <w:p>
      <w:pPr>
        <w:spacing w:after="80"/>
      </w:pPr>
      <w:r>
        <w:rPr>
          <w:rFonts w:ascii="Helvetica" w:hAnsi="Helvetica"/>
          <w:b/>
          <w:i w:val="0"/>
          <w:color w:val="2B2B2B"/>
          <w:sz w:val="22"/>
        </w:rPr>
        <w:t>Top 20 customers, FY2025</w:t>
      </w:r>
    </w:p>
    <w:p>
      <w:pPr>
        <w:spacing w:after="80"/>
      </w:pPr>
      <w:r>
        <w:rPr>
          <w:rFonts w:ascii="Helvetica" w:hAnsi="Helvetica"/>
          <w:b w:val="0"/>
          <w:i w:val="0"/>
          <w:color w:val="2B2B2B"/>
          <w:sz w:val="22"/>
        </w:rPr>
        <w:t>The largest customer was Foxglove Stores LLC at $926,855.96, representing 1.34% of revenue. The top 20 customers together accounted for 13.65% of revenue. The full list is shown below.</w:t>
      </w:r>
    </w:p>
    <w:tbl>
      <w:tblPr>
        <w:tblW w:type="auto" w:w="0"/>
        <w:tblLayout w:type="fixed"/>
        <w:tblLook w:firstColumn="1" w:firstRow="1" w:lastColumn="0" w:lastRow="0" w:noHBand="0" w:noVBand="1" w:val="04A0"/>
      </w:tblPr>
      <w:tblGrid>
        <w:gridCol w:w="1872"/>
        <w:gridCol w:w="1872"/>
        <w:gridCol w:w="1872"/>
        <w:gridCol w:w="1872"/>
        <w:gridCol w:w="1872"/>
      </w:tblGrid>
      <w:tr>
        <w:tc>
          <w:tcPr>
            <w:tcW w:type="dxa" w:w="720"/>
            <w:shd w:val="clear" w:color="auto" w:fill="0B3C5D"/>
          </w:tcPr>
          <w:p>
            <w:pPr>
              <w:spacing w:after="40" w:before="40"/>
              <w:jc w:val="center"/>
            </w:pPr>
            <w:r>
              <w:rPr>
                <w:rFonts w:ascii="Helvetica-Bold" w:hAnsi="Helvetica-Bold"/>
                <w:b/>
                <w:color w:val="FFFFFF"/>
                <w:sz w:val="18"/>
              </w:rPr>
              <w:t>Rank</w:t>
            </w:r>
          </w:p>
        </w:tc>
        <w:tc>
          <w:tcPr>
            <w:tcW w:type="dxa" w:w="1152"/>
            <w:shd w:val="clear" w:color="auto" w:fill="0B3C5D"/>
          </w:tcPr>
          <w:p>
            <w:pPr>
              <w:spacing w:after="40" w:before="40"/>
              <w:jc w:val="center"/>
            </w:pPr>
            <w:r>
              <w:rPr>
                <w:rFonts w:ascii="Helvetica-Bold" w:hAnsi="Helvetica-Bold"/>
                <w:b/>
                <w:color w:val="FFFFFF"/>
                <w:sz w:val="18"/>
              </w:rPr>
              <w:t>Customer ID</w:t>
            </w:r>
          </w:p>
        </w:tc>
        <w:tc>
          <w:tcPr>
            <w:tcW w:type="dxa" w:w="3312"/>
            <w:shd w:val="clear" w:color="auto" w:fill="0B3C5D"/>
          </w:tcPr>
          <w:p>
            <w:pPr>
              <w:spacing w:after="40" w:before="40"/>
              <w:jc w:val="center"/>
            </w:pPr>
            <w:r>
              <w:rPr>
                <w:rFonts w:ascii="Helvetica-Bold" w:hAnsi="Helvetica-Bold"/>
                <w:b/>
                <w:color w:val="FFFFFF"/>
                <w:sz w:val="18"/>
              </w:rPr>
              <w:t>Name</w:t>
            </w:r>
          </w:p>
        </w:tc>
        <w:tc>
          <w:tcPr>
            <w:tcW w:type="dxa" w:w="2160"/>
            <w:shd w:val="clear" w:color="auto" w:fill="0B3C5D"/>
          </w:tcPr>
          <w:p>
            <w:pPr>
              <w:spacing w:after="40" w:before="40"/>
              <w:jc w:val="center"/>
            </w:pPr>
            <w:r>
              <w:rPr>
                <w:rFonts w:ascii="Helvetica-Bold" w:hAnsi="Helvetica-Bold"/>
                <w:b/>
                <w:color w:val="FFFFFF"/>
                <w:sz w:val="18"/>
              </w:rPr>
              <w:t>Revenue</w:t>
            </w:r>
          </w:p>
        </w:tc>
        <w:tc>
          <w:tcPr>
            <w:tcW w:type="dxa" w:w="2016"/>
            <w:shd w:val="clear" w:color="auto" w:fill="0B3C5D"/>
          </w:tcPr>
          <w:p>
            <w:pPr>
              <w:spacing w:after="40" w:before="40"/>
              <w:jc w:val="center"/>
            </w:pPr>
            <w:r>
              <w:rPr>
                <w:rFonts w:ascii="Helvetica-Bold" w:hAnsi="Helvetica-Bold"/>
                <w:b/>
                <w:color w:val="FFFFFF"/>
                <w:sz w:val="18"/>
              </w:rPr>
              <w:t>Share of revenue</w:t>
            </w:r>
          </w:p>
        </w:tc>
      </w:tr>
      <w:tr>
        <w:tc>
          <w:tcPr>
            <w:tcW w:type="dxa" w:w="1872"/>
          </w:tcPr>
          <w:p>
            <w:pPr>
              <w:spacing w:after="40" w:before="40"/>
            </w:pPr>
            <w:r>
              <w:rPr>
                <w:rFonts w:ascii="Helvetica" w:hAnsi="Helvetica"/>
                <w:color w:val="2B2B2B"/>
                <w:sz w:val="18"/>
              </w:rPr>
              <w:t>1</w:t>
            </w:r>
          </w:p>
        </w:tc>
        <w:tc>
          <w:tcPr>
            <w:tcW w:type="dxa" w:w="1872"/>
          </w:tcPr>
          <w:p>
            <w:pPr>
              <w:spacing w:after="40" w:before="40"/>
            </w:pPr>
            <w:r>
              <w:rPr>
                <w:rFonts w:ascii="Helvetica" w:hAnsi="Helvetica"/>
                <w:color w:val="2B2B2B"/>
                <w:sz w:val="18"/>
              </w:rPr>
              <w:t>C0848</w:t>
            </w:r>
          </w:p>
        </w:tc>
        <w:tc>
          <w:tcPr>
            <w:tcW w:type="dxa" w:w="1872"/>
          </w:tcPr>
          <w:p>
            <w:pPr>
              <w:spacing w:after="40" w:before="40"/>
            </w:pPr>
            <w:r>
              <w:rPr>
                <w:rFonts w:ascii="Helvetica" w:hAnsi="Helvetica"/>
                <w:color w:val="2B2B2B"/>
                <w:sz w:val="18"/>
              </w:rPr>
              <w:t>Foxglove Stores LLC</w:t>
            </w:r>
          </w:p>
        </w:tc>
        <w:tc>
          <w:tcPr>
            <w:tcW w:type="dxa" w:w="1872"/>
          </w:tcPr>
          <w:p>
            <w:pPr>
              <w:spacing w:after="40" w:before="40"/>
            </w:pPr>
            <w:r>
              <w:rPr>
                <w:rFonts w:ascii="Helvetica" w:hAnsi="Helvetica"/>
                <w:color w:val="2B2B2B"/>
                <w:sz w:val="18"/>
              </w:rPr>
              <w:t>$926,855.96</w:t>
            </w:r>
          </w:p>
        </w:tc>
        <w:tc>
          <w:tcPr>
            <w:tcW w:type="dxa" w:w="1872"/>
          </w:tcPr>
          <w:p>
            <w:pPr>
              <w:spacing w:after="40" w:before="40"/>
            </w:pPr>
            <w:r>
              <w:rPr>
                <w:rFonts w:ascii="Helvetica" w:hAnsi="Helvetica"/>
                <w:color w:val="2B2B2B"/>
                <w:sz w:val="18"/>
              </w:rPr>
              <w:t>1.34%</w:t>
            </w:r>
          </w:p>
        </w:tc>
      </w:tr>
      <w:tr>
        <w:tc>
          <w:tcPr>
            <w:tcW w:type="dxa" w:w="1872"/>
            <w:shd w:val="clear" w:color="auto" w:fill="F2F4F5"/>
          </w:tcPr>
          <w:p>
            <w:pPr>
              <w:spacing w:after="40" w:before="40"/>
            </w:pPr>
            <w:r>
              <w:rPr>
                <w:rFonts w:ascii="Helvetica" w:hAnsi="Helvetica"/>
                <w:color w:val="2B2B2B"/>
                <w:sz w:val="18"/>
              </w:rPr>
              <w:t>2</w:t>
            </w:r>
          </w:p>
        </w:tc>
        <w:tc>
          <w:tcPr>
            <w:tcW w:type="dxa" w:w="1872"/>
            <w:shd w:val="clear" w:color="auto" w:fill="F2F4F5"/>
          </w:tcPr>
          <w:p>
            <w:pPr>
              <w:spacing w:after="40" w:before="40"/>
            </w:pPr>
            <w:r>
              <w:rPr>
                <w:rFonts w:ascii="Helvetica" w:hAnsi="Helvetica"/>
                <w:color w:val="2B2B2B"/>
                <w:sz w:val="18"/>
              </w:rPr>
              <w:t>C0029</w:t>
            </w:r>
          </w:p>
        </w:tc>
        <w:tc>
          <w:tcPr>
            <w:tcW w:type="dxa" w:w="1872"/>
            <w:shd w:val="clear" w:color="auto" w:fill="F2F4F5"/>
          </w:tcPr>
          <w:p>
            <w:pPr>
              <w:spacing w:after="40" w:before="40"/>
            </w:pPr>
            <w:r>
              <w:rPr>
                <w:rFonts w:ascii="Helvetica" w:hAnsi="Helvetica"/>
                <w:color w:val="2B2B2B"/>
                <w:sz w:val="18"/>
              </w:rPr>
              <w:t>Pearl Developments Ltd.</w:t>
            </w:r>
          </w:p>
        </w:tc>
        <w:tc>
          <w:tcPr>
            <w:tcW w:type="dxa" w:w="1872"/>
            <w:shd w:val="clear" w:color="auto" w:fill="F2F4F5"/>
          </w:tcPr>
          <w:p>
            <w:pPr>
              <w:spacing w:after="40" w:before="40"/>
            </w:pPr>
            <w:r>
              <w:rPr>
                <w:rFonts w:ascii="Helvetica" w:hAnsi="Helvetica"/>
                <w:color w:val="2B2B2B"/>
                <w:sz w:val="18"/>
              </w:rPr>
              <w:t>$749,644.27</w:t>
            </w:r>
          </w:p>
        </w:tc>
        <w:tc>
          <w:tcPr>
            <w:tcW w:type="dxa" w:w="1872"/>
            <w:shd w:val="clear" w:color="auto" w:fill="F2F4F5"/>
          </w:tcPr>
          <w:p>
            <w:pPr>
              <w:spacing w:after="40" w:before="40"/>
            </w:pPr>
            <w:r>
              <w:rPr>
                <w:rFonts w:ascii="Helvetica" w:hAnsi="Helvetica"/>
                <w:color w:val="2B2B2B"/>
                <w:sz w:val="18"/>
              </w:rPr>
              <w:t>1.08%</w:t>
            </w:r>
          </w:p>
        </w:tc>
      </w:tr>
      <w:tr>
        <w:tc>
          <w:tcPr>
            <w:tcW w:type="dxa" w:w="1872"/>
          </w:tcPr>
          <w:p>
            <w:pPr>
              <w:spacing w:after="40" w:before="40"/>
            </w:pPr>
            <w:r>
              <w:rPr>
                <w:rFonts w:ascii="Helvetica" w:hAnsi="Helvetica"/>
                <w:color w:val="2B2B2B"/>
                <w:sz w:val="18"/>
              </w:rPr>
              <w:t>3</w:t>
            </w:r>
          </w:p>
        </w:tc>
        <w:tc>
          <w:tcPr>
            <w:tcW w:type="dxa" w:w="1872"/>
          </w:tcPr>
          <w:p>
            <w:pPr>
              <w:spacing w:after="40" w:before="40"/>
            </w:pPr>
            <w:r>
              <w:rPr>
                <w:rFonts w:ascii="Helvetica" w:hAnsi="Helvetica"/>
                <w:color w:val="2B2B2B"/>
                <w:sz w:val="18"/>
              </w:rPr>
              <w:t>C0636</w:t>
            </w:r>
          </w:p>
        </w:tc>
        <w:tc>
          <w:tcPr>
            <w:tcW w:type="dxa" w:w="1872"/>
          </w:tcPr>
          <w:p>
            <w:pPr>
              <w:spacing w:after="40" w:before="40"/>
            </w:pPr>
            <w:r>
              <w:rPr>
                <w:rFonts w:ascii="Helvetica" w:hAnsi="Helvetica"/>
                <w:color w:val="2B2B2B"/>
                <w:sz w:val="18"/>
              </w:rPr>
              <w:t>Granite Fabrication Ltd.</w:t>
            </w:r>
          </w:p>
        </w:tc>
        <w:tc>
          <w:tcPr>
            <w:tcW w:type="dxa" w:w="1872"/>
          </w:tcPr>
          <w:p>
            <w:pPr>
              <w:spacing w:after="40" w:before="40"/>
            </w:pPr>
            <w:r>
              <w:rPr>
                <w:rFonts w:ascii="Helvetica" w:hAnsi="Helvetica"/>
                <w:color w:val="2B2B2B"/>
                <w:sz w:val="18"/>
              </w:rPr>
              <w:t>$704,339.72</w:t>
            </w:r>
          </w:p>
        </w:tc>
        <w:tc>
          <w:tcPr>
            <w:tcW w:type="dxa" w:w="1872"/>
          </w:tcPr>
          <w:p>
            <w:pPr>
              <w:spacing w:after="40" w:before="40"/>
            </w:pPr>
            <w:r>
              <w:rPr>
                <w:rFonts w:ascii="Helvetica" w:hAnsi="Helvetica"/>
                <w:color w:val="2B2B2B"/>
                <w:sz w:val="18"/>
              </w:rPr>
              <w:t>1.02%</w:t>
            </w:r>
          </w:p>
        </w:tc>
      </w:tr>
      <w:tr>
        <w:tc>
          <w:tcPr>
            <w:tcW w:type="dxa" w:w="1872"/>
            <w:shd w:val="clear" w:color="auto" w:fill="F2F4F5"/>
          </w:tcPr>
          <w:p>
            <w:pPr>
              <w:spacing w:after="40" w:before="40"/>
            </w:pPr>
            <w:r>
              <w:rPr>
                <w:rFonts w:ascii="Helvetica" w:hAnsi="Helvetica"/>
                <w:color w:val="2B2B2B"/>
                <w:sz w:val="18"/>
              </w:rPr>
              <w:t>4</w:t>
            </w:r>
          </w:p>
        </w:tc>
        <w:tc>
          <w:tcPr>
            <w:tcW w:type="dxa" w:w="1872"/>
            <w:shd w:val="clear" w:color="auto" w:fill="F2F4F5"/>
          </w:tcPr>
          <w:p>
            <w:pPr>
              <w:spacing w:after="40" w:before="40"/>
            </w:pPr>
            <w:r>
              <w:rPr>
                <w:rFonts w:ascii="Helvetica" w:hAnsi="Helvetica"/>
                <w:color w:val="2B2B2B"/>
                <w:sz w:val="18"/>
              </w:rPr>
              <w:t>C1180</w:t>
            </w:r>
          </w:p>
        </w:tc>
        <w:tc>
          <w:tcPr>
            <w:tcW w:type="dxa" w:w="1872"/>
            <w:shd w:val="clear" w:color="auto" w:fill="F2F4F5"/>
          </w:tcPr>
          <w:p>
            <w:pPr>
              <w:spacing w:after="40" w:before="40"/>
            </w:pPr>
            <w:r>
              <w:rPr>
                <w:rFonts w:ascii="Helvetica" w:hAnsi="Helvetica"/>
                <w:color w:val="2B2B2B"/>
                <w:sz w:val="18"/>
              </w:rPr>
              <w:t>Montcalm Entreposage inc.</w:t>
            </w:r>
          </w:p>
        </w:tc>
        <w:tc>
          <w:tcPr>
            <w:tcW w:type="dxa" w:w="1872"/>
            <w:shd w:val="clear" w:color="auto" w:fill="F2F4F5"/>
          </w:tcPr>
          <w:p>
            <w:pPr>
              <w:spacing w:after="40" w:before="40"/>
            </w:pPr>
            <w:r>
              <w:rPr>
                <w:rFonts w:ascii="Helvetica" w:hAnsi="Helvetica"/>
                <w:color w:val="2B2B2B"/>
                <w:sz w:val="18"/>
              </w:rPr>
              <w:t>$656,874.93</w:t>
            </w:r>
          </w:p>
        </w:tc>
        <w:tc>
          <w:tcPr>
            <w:tcW w:type="dxa" w:w="1872"/>
            <w:shd w:val="clear" w:color="auto" w:fill="F2F4F5"/>
          </w:tcPr>
          <w:p>
            <w:pPr>
              <w:spacing w:after="40" w:before="40"/>
            </w:pPr>
            <w:r>
              <w:rPr>
                <w:rFonts w:ascii="Helvetica" w:hAnsi="Helvetica"/>
                <w:color w:val="2B2B2B"/>
                <w:sz w:val="18"/>
              </w:rPr>
              <w:t>0.95%</w:t>
            </w:r>
          </w:p>
        </w:tc>
      </w:tr>
      <w:tr>
        <w:tc>
          <w:tcPr>
            <w:tcW w:type="dxa" w:w="1872"/>
          </w:tcPr>
          <w:p>
            <w:pPr>
              <w:spacing w:after="40" w:before="40"/>
            </w:pPr>
            <w:r>
              <w:rPr>
                <w:rFonts w:ascii="Helvetica" w:hAnsi="Helvetica"/>
                <w:color w:val="2B2B2B"/>
                <w:sz w:val="18"/>
              </w:rPr>
              <w:t>5</w:t>
            </w:r>
          </w:p>
        </w:tc>
        <w:tc>
          <w:tcPr>
            <w:tcW w:type="dxa" w:w="1872"/>
          </w:tcPr>
          <w:p>
            <w:pPr>
              <w:spacing w:after="40" w:before="40"/>
            </w:pPr>
            <w:r>
              <w:rPr>
                <w:rFonts w:ascii="Helvetica" w:hAnsi="Helvetica"/>
                <w:color w:val="2B2B2B"/>
                <w:sz w:val="18"/>
              </w:rPr>
              <w:t>C1186</w:t>
            </w:r>
          </w:p>
        </w:tc>
        <w:tc>
          <w:tcPr>
            <w:tcW w:type="dxa" w:w="1872"/>
          </w:tcPr>
          <w:p>
            <w:pPr>
              <w:spacing w:after="40" w:before="40"/>
            </w:pPr>
            <w:r>
              <w:rPr>
                <w:rFonts w:ascii="Helvetica" w:hAnsi="Helvetica"/>
                <w:color w:val="2B2B2B"/>
                <w:sz w:val="18"/>
              </w:rPr>
              <w:t>Falcon Retail Group LLC</w:t>
            </w:r>
          </w:p>
        </w:tc>
        <w:tc>
          <w:tcPr>
            <w:tcW w:type="dxa" w:w="1872"/>
          </w:tcPr>
          <w:p>
            <w:pPr>
              <w:spacing w:after="40" w:before="40"/>
            </w:pPr>
            <w:r>
              <w:rPr>
                <w:rFonts w:ascii="Helvetica" w:hAnsi="Helvetica"/>
                <w:color w:val="2B2B2B"/>
                <w:sz w:val="18"/>
              </w:rPr>
              <w:t>$543,431.33</w:t>
            </w:r>
          </w:p>
        </w:tc>
        <w:tc>
          <w:tcPr>
            <w:tcW w:type="dxa" w:w="1872"/>
          </w:tcPr>
          <w:p>
            <w:pPr>
              <w:spacing w:after="40" w:before="40"/>
            </w:pPr>
            <w:r>
              <w:rPr>
                <w:rFonts w:ascii="Helvetica" w:hAnsi="Helvetica"/>
                <w:color w:val="2B2B2B"/>
                <w:sz w:val="18"/>
              </w:rPr>
              <w:t>0.79%</w:t>
            </w:r>
          </w:p>
        </w:tc>
      </w:tr>
      <w:tr>
        <w:tc>
          <w:tcPr>
            <w:tcW w:type="dxa" w:w="1872"/>
            <w:shd w:val="clear" w:color="auto" w:fill="F2F4F5"/>
          </w:tcPr>
          <w:p>
            <w:pPr>
              <w:spacing w:after="40" w:before="40"/>
            </w:pPr>
            <w:r>
              <w:rPr>
                <w:rFonts w:ascii="Helvetica" w:hAnsi="Helvetica"/>
                <w:color w:val="2B2B2B"/>
                <w:sz w:val="18"/>
              </w:rPr>
              <w:t>6</w:t>
            </w:r>
          </w:p>
        </w:tc>
        <w:tc>
          <w:tcPr>
            <w:tcW w:type="dxa" w:w="1872"/>
            <w:shd w:val="clear" w:color="auto" w:fill="F2F4F5"/>
          </w:tcPr>
          <w:p>
            <w:pPr>
              <w:spacing w:after="40" w:before="40"/>
            </w:pPr>
            <w:r>
              <w:rPr>
                <w:rFonts w:ascii="Helvetica" w:hAnsi="Helvetica"/>
                <w:color w:val="2B2B2B"/>
                <w:sz w:val="18"/>
              </w:rPr>
              <w:t>C0883</w:t>
            </w:r>
          </w:p>
        </w:tc>
        <w:tc>
          <w:tcPr>
            <w:tcW w:type="dxa" w:w="1872"/>
            <w:shd w:val="clear" w:color="auto" w:fill="F2F4F5"/>
          </w:tcPr>
          <w:p>
            <w:pPr>
              <w:spacing w:after="40" w:before="40"/>
            </w:pPr>
            <w:r>
              <w:rPr>
                <w:rFonts w:ascii="Helvetica" w:hAnsi="Helvetica"/>
                <w:color w:val="2B2B2B"/>
                <w:sz w:val="18"/>
              </w:rPr>
              <w:t>Érable Fleuve Entreposage Inc.</w:t>
            </w:r>
          </w:p>
        </w:tc>
        <w:tc>
          <w:tcPr>
            <w:tcW w:type="dxa" w:w="1872"/>
            <w:shd w:val="clear" w:color="auto" w:fill="F2F4F5"/>
          </w:tcPr>
          <w:p>
            <w:pPr>
              <w:spacing w:after="40" w:before="40"/>
            </w:pPr>
            <w:r>
              <w:rPr>
                <w:rFonts w:ascii="Helvetica" w:hAnsi="Helvetica"/>
                <w:color w:val="2B2B2B"/>
                <w:sz w:val="18"/>
              </w:rPr>
              <w:t>$536,141.25</w:t>
            </w:r>
          </w:p>
        </w:tc>
        <w:tc>
          <w:tcPr>
            <w:tcW w:type="dxa" w:w="1872"/>
            <w:shd w:val="clear" w:color="auto" w:fill="F2F4F5"/>
          </w:tcPr>
          <w:p>
            <w:pPr>
              <w:spacing w:after="40" w:before="40"/>
            </w:pPr>
            <w:r>
              <w:rPr>
                <w:rFonts w:ascii="Helvetica" w:hAnsi="Helvetica"/>
                <w:color w:val="2B2B2B"/>
                <w:sz w:val="18"/>
              </w:rPr>
              <w:t>0.78%</w:t>
            </w:r>
          </w:p>
        </w:tc>
      </w:tr>
      <w:tr>
        <w:tc>
          <w:tcPr>
            <w:tcW w:type="dxa" w:w="1872"/>
          </w:tcPr>
          <w:p>
            <w:pPr>
              <w:spacing w:after="40" w:before="40"/>
            </w:pPr>
            <w:r>
              <w:rPr>
                <w:rFonts w:ascii="Helvetica" w:hAnsi="Helvetica"/>
                <w:color w:val="2B2B2B"/>
                <w:sz w:val="18"/>
              </w:rPr>
              <w:t>7</w:t>
            </w:r>
          </w:p>
        </w:tc>
        <w:tc>
          <w:tcPr>
            <w:tcW w:type="dxa" w:w="1872"/>
          </w:tcPr>
          <w:p>
            <w:pPr>
              <w:spacing w:after="40" w:before="40"/>
            </w:pPr>
            <w:r>
              <w:rPr>
                <w:rFonts w:ascii="Helvetica" w:hAnsi="Helvetica"/>
                <w:color w:val="2B2B2B"/>
                <w:sz w:val="18"/>
              </w:rPr>
              <w:t>C0198</w:t>
            </w:r>
          </w:p>
        </w:tc>
        <w:tc>
          <w:tcPr>
            <w:tcW w:type="dxa" w:w="1872"/>
          </w:tcPr>
          <w:p>
            <w:pPr>
              <w:spacing w:after="40" w:before="40"/>
            </w:pPr>
            <w:r>
              <w:rPr>
                <w:rFonts w:ascii="Helvetica" w:hAnsi="Helvetica"/>
                <w:color w:val="2B2B2B"/>
                <w:sz w:val="18"/>
              </w:rPr>
              <w:t>Saint-Laurent Académie ltée</w:t>
            </w:r>
          </w:p>
        </w:tc>
        <w:tc>
          <w:tcPr>
            <w:tcW w:type="dxa" w:w="1872"/>
          </w:tcPr>
          <w:p>
            <w:pPr>
              <w:spacing w:after="40" w:before="40"/>
            </w:pPr>
            <w:r>
              <w:rPr>
                <w:rFonts w:ascii="Helvetica" w:hAnsi="Helvetica"/>
                <w:color w:val="2B2B2B"/>
                <w:sz w:val="18"/>
              </w:rPr>
              <w:t>$504,668.70</w:t>
            </w:r>
          </w:p>
        </w:tc>
        <w:tc>
          <w:tcPr>
            <w:tcW w:type="dxa" w:w="1872"/>
          </w:tcPr>
          <w:p>
            <w:pPr>
              <w:spacing w:after="40" w:before="40"/>
            </w:pPr>
            <w:r>
              <w:rPr>
                <w:rFonts w:ascii="Helvetica" w:hAnsi="Helvetica"/>
                <w:color w:val="2B2B2B"/>
                <w:sz w:val="18"/>
              </w:rPr>
              <w:t>0.73%</w:t>
            </w:r>
          </w:p>
        </w:tc>
      </w:tr>
      <w:tr>
        <w:tc>
          <w:tcPr>
            <w:tcW w:type="dxa" w:w="1872"/>
            <w:shd w:val="clear" w:color="auto" w:fill="F2F4F5"/>
          </w:tcPr>
          <w:p>
            <w:pPr>
              <w:spacing w:after="40" w:before="40"/>
            </w:pPr>
            <w:r>
              <w:rPr>
                <w:rFonts w:ascii="Helvetica" w:hAnsi="Helvetica"/>
                <w:color w:val="2B2B2B"/>
                <w:sz w:val="18"/>
              </w:rPr>
              <w:t>8</w:t>
            </w:r>
          </w:p>
        </w:tc>
        <w:tc>
          <w:tcPr>
            <w:tcW w:type="dxa" w:w="1872"/>
            <w:shd w:val="clear" w:color="auto" w:fill="F2F4F5"/>
          </w:tcPr>
          <w:p>
            <w:pPr>
              <w:spacing w:after="40" w:before="40"/>
            </w:pPr>
            <w:r>
              <w:rPr>
                <w:rFonts w:ascii="Helvetica" w:hAnsi="Helvetica"/>
                <w:color w:val="2B2B2B"/>
                <w:sz w:val="18"/>
              </w:rPr>
              <w:t>C1985</w:t>
            </w:r>
          </w:p>
        </w:tc>
        <w:tc>
          <w:tcPr>
            <w:tcW w:type="dxa" w:w="1872"/>
            <w:shd w:val="clear" w:color="auto" w:fill="F2F4F5"/>
          </w:tcPr>
          <w:p>
            <w:pPr>
              <w:spacing w:after="40" w:before="40"/>
            </w:pPr>
            <w:r>
              <w:rPr>
                <w:rFonts w:ascii="Helvetica" w:hAnsi="Helvetica"/>
                <w:color w:val="2B2B2B"/>
                <w:sz w:val="18"/>
              </w:rPr>
              <w:t>Al Waha Property Management LLC</w:t>
            </w:r>
          </w:p>
        </w:tc>
        <w:tc>
          <w:tcPr>
            <w:tcW w:type="dxa" w:w="1872"/>
            <w:shd w:val="clear" w:color="auto" w:fill="F2F4F5"/>
          </w:tcPr>
          <w:p>
            <w:pPr>
              <w:spacing w:after="40" w:before="40"/>
            </w:pPr>
            <w:r>
              <w:rPr>
                <w:rFonts w:ascii="Helvetica" w:hAnsi="Helvetica"/>
                <w:color w:val="2B2B2B"/>
                <w:sz w:val="18"/>
              </w:rPr>
              <w:t>$496,286.01</w:t>
            </w:r>
          </w:p>
        </w:tc>
        <w:tc>
          <w:tcPr>
            <w:tcW w:type="dxa" w:w="1872"/>
            <w:shd w:val="clear" w:color="auto" w:fill="F2F4F5"/>
          </w:tcPr>
          <w:p>
            <w:pPr>
              <w:spacing w:after="40" w:before="40"/>
            </w:pPr>
            <w:r>
              <w:rPr>
                <w:rFonts w:ascii="Helvetica" w:hAnsi="Helvetica"/>
                <w:color w:val="2B2B2B"/>
                <w:sz w:val="18"/>
              </w:rPr>
              <w:t>0.72%</w:t>
            </w:r>
          </w:p>
        </w:tc>
      </w:tr>
      <w:tr>
        <w:tc>
          <w:tcPr>
            <w:tcW w:type="dxa" w:w="1872"/>
          </w:tcPr>
          <w:p>
            <w:pPr>
              <w:spacing w:after="40" w:before="40"/>
            </w:pPr>
            <w:r>
              <w:rPr>
                <w:rFonts w:ascii="Helvetica" w:hAnsi="Helvetica"/>
                <w:color w:val="2B2B2B"/>
                <w:sz w:val="18"/>
              </w:rPr>
              <w:t>9</w:t>
            </w:r>
          </w:p>
        </w:tc>
        <w:tc>
          <w:tcPr>
            <w:tcW w:type="dxa" w:w="1872"/>
          </w:tcPr>
          <w:p>
            <w:pPr>
              <w:spacing w:after="40" w:before="40"/>
            </w:pPr>
            <w:r>
              <w:rPr>
                <w:rFonts w:ascii="Helvetica" w:hAnsi="Helvetica"/>
                <w:color w:val="2B2B2B"/>
                <w:sz w:val="18"/>
              </w:rPr>
              <w:t>C0466</w:t>
            </w:r>
          </w:p>
        </w:tc>
        <w:tc>
          <w:tcPr>
            <w:tcW w:type="dxa" w:w="1872"/>
          </w:tcPr>
          <w:p>
            <w:pPr>
              <w:spacing w:after="40" w:before="40"/>
            </w:pPr>
            <w:r>
              <w:rPr>
                <w:rFonts w:ascii="Helvetica" w:hAnsi="Helvetica"/>
                <w:color w:val="2B2B2B"/>
                <w:sz w:val="18"/>
              </w:rPr>
              <w:t>Driftwood Distribution Ltd.</w:t>
            </w:r>
          </w:p>
        </w:tc>
        <w:tc>
          <w:tcPr>
            <w:tcW w:type="dxa" w:w="1872"/>
          </w:tcPr>
          <w:p>
            <w:pPr>
              <w:spacing w:after="40" w:before="40"/>
            </w:pPr>
            <w:r>
              <w:rPr>
                <w:rFonts w:ascii="Helvetica" w:hAnsi="Helvetica"/>
                <w:color w:val="2B2B2B"/>
                <w:sz w:val="18"/>
              </w:rPr>
              <w:t>$461,242.64</w:t>
            </w:r>
          </w:p>
        </w:tc>
        <w:tc>
          <w:tcPr>
            <w:tcW w:type="dxa" w:w="1872"/>
          </w:tcPr>
          <w:p>
            <w:pPr>
              <w:spacing w:after="40" w:before="40"/>
            </w:pPr>
            <w:r>
              <w:rPr>
                <w:rFonts w:ascii="Helvetica" w:hAnsi="Helvetica"/>
                <w:color w:val="2B2B2B"/>
                <w:sz w:val="18"/>
              </w:rPr>
              <w:t>0.67%</w:t>
            </w:r>
          </w:p>
        </w:tc>
      </w:tr>
      <w:tr>
        <w:tc>
          <w:tcPr>
            <w:tcW w:type="dxa" w:w="1872"/>
            <w:shd w:val="clear" w:color="auto" w:fill="F2F4F5"/>
          </w:tcPr>
          <w:p>
            <w:pPr>
              <w:spacing w:after="40" w:before="40"/>
            </w:pPr>
            <w:r>
              <w:rPr>
                <w:rFonts w:ascii="Helvetica" w:hAnsi="Helvetica"/>
                <w:color w:val="2B2B2B"/>
                <w:sz w:val="18"/>
              </w:rPr>
              <w:t>10</w:t>
            </w:r>
          </w:p>
        </w:tc>
        <w:tc>
          <w:tcPr>
            <w:tcW w:type="dxa" w:w="1872"/>
            <w:shd w:val="clear" w:color="auto" w:fill="F2F4F5"/>
          </w:tcPr>
          <w:p>
            <w:pPr>
              <w:spacing w:after="40" w:before="40"/>
            </w:pPr>
            <w:r>
              <w:rPr>
                <w:rFonts w:ascii="Helvetica" w:hAnsi="Helvetica"/>
                <w:color w:val="2B2B2B"/>
                <w:sz w:val="18"/>
              </w:rPr>
              <w:t>C0717</w:t>
            </w:r>
          </w:p>
        </w:tc>
        <w:tc>
          <w:tcPr>
            <w:tcW w:type="dxa" w:w="1872"/>
            <w:shd w:val="clear" w:color="auto" w:fill="F2F4F5"/>
          </w:tcPr>
          <w:p>
            <w:pPr>
              <w:spacing w:after="40" w:before="40"/>
            </w:pPr>
            <w:r>
              <w:rPr>
                <w:rFonts w:ascii="Helvetica" w:hAnsi="Helvetica"/>
                <w:color w:val="2B2B2B"/>
                <w:sz w:val="18"/>
              </w:rPr>
              <w:t>Meridian Cedar Developments Ltd.</w:t>
            </w:r>
          </w:p>
        </w:tc>
        <w:tc>
          <w:tcPr>
            <w:tcW w:type="dxa" w:w="1872"/>
            <w:shd w:val="clear" w:color="auto" w:fill="F2F4F5"/>
          </w:tcPr>
          <w:p>
            <w:pPr>
              <w:spacing w:after="40" w:before="40"/>
            </w:pPr>
            <w:r>
              <w:rPr>
                <w:rFonts w:ascii="Helvetica" w:hAnsi="Helvetica"/>
                <w:color w:val="2B2B2B"/>
                <w:sz w:val="18"/>
              </w:rPr>
              <w:t>$433,604.37</w:t>
            </w:r>
          </w:p>
        </w:tc>
        <w:tc>
          <w:tcPr>
            <w:tcW w:type="dxa" w:w="1872"/>
            <w:shd w:val="clear" w:color="auto" w:fill="F2F4F5"/>
          </w:tcPr>
          <w:p>
            <w:pPr>
              <w:spacing w:after="40" w:before="40"/>
            </w:pPr>
            <w:r>
              <w:rPr>
                <w:rFonts w:ascii="Helvetica" w:hAnsi="Helvetica"/>
                <w:color w:val="2B2B2B"/>
                <w:sz w:val="18"/>
              </w:rPr>
              <w:t>0.63%</w:t>
            </w:r>
          </w:p>
        </w:tc>
      </w:tr>
      <w:tr>
        <w:tc>
          <w:tcPr>
            <w:tcW w:type="dxa" w:w="1872"/>
          </w:tcPr>
          <w:p>
            <w:pPr>
              <w:spacing w:after="40" w:before="40"/>
            </w:pPr>
            <w:r>
              <w:rPr>
                <w:rFonts w:ascii="Helvetica" w:hAnsi="Helvetica"/>
                <w:color w:val="2B2B2B"/>
                <w:sz w:val="18"/>
              </w:rPr>
              <w:t>11</w:t>
            </w:r>
          </w:p>
        </w:tc>
        <w:tc>
          <w:tcPr>
            <w:tcW w:type="dxa" w:w="1872"/>
          </w:tcPr>
          <w:p>
            <w:pPr>
              <w:spacing w:after="40" w:before="40"/>
            </w:pPr>
            <w:r>
              <w:rPr>
                <w:rFonts w:ascii="Helvetica" w:hAnsi="Helvetica"/>
                <w:color w:val="2B2B2B"/>
                <w:sz w:val="18"/>
              </w:rPr>
              <w:t>C0402</w:t>
            </w:r>
          </w:p>
        </w:tc>
        <w:tc>
          <w:tcPr>
            <w:tcW w:type="dxa" w:w="1872"/>
          </w:tcPr>
          <w:p>
            <w:pPr>
              <w:spacing w:after="40" w:before="40"/>
            </w:pPr>
            <w:r>
              <w:rPr>
                <w:rFonts w:ascii="Helvetica" w:hAnsi="Helvetica"/>
                <w:color w:val="2B2B2B"/>
                <w:sz w:val="18"/>
              </w:rPr>
              <w:t>Atlas Manufacturing Ltd.</w:t>
            </w:r>
          </w:p>
        </w:tc>
        <w:tc>
          <w:tcPr>
            <w:tcW w:type="dxa" w:w="1872"/>
          </w:tcPr>
          <w:p>
            <w:pPr>
              <w:spacing w:after="40" w:before="40"/>
            </w:pPr>
            <w:r>
              <w:rPr>
                <w:rFonts w:ascii="Helvetica" w:hAnsi="Helvetica"/>
                <w:color w:val="2B2B2B"/>
                <w:sz w:val="18"/>
              </w:rPr>
              <w:t>$395,327.98</w:t>
            </w:r>
          </w:p>
        </w:tc>
        <w:tc>
          <w:tcPr>
            <w:tcW w:type="dxa" w:w="1872"/>
          </w:tcPr>
          <w:p>
            <w:pPr>
              <w:spacing w:after="40" w:before="40"/>
            </w:pPr>
            <w:r>
              <w:rPr>
                <w:rFonts w:ascii="Helvetica" w:hAnsi="Helvetica"/>
                <w:color w:val="2B2B2B"/>
                <w:sz w:val="18"/>
              </w:rPr>
              <w:t>0.57%</w:t>
            </w:r>
          </w:p>
        </w:tc>
      </w:tr>
      <w:tr>
        <w:tc>
          <w:tcPr>
            <w:tcW w:type="dxa" w:w="1872"/>
            <w:shd w:val="clear" w:color="auto" w:fill="F2F4F5"/>
          </w:tcPr>
          <w:p>
            <w:pPr>
              <w:spacing w:after="40" w:before="40"/>
            </w:pPr>
            <w:r>
              <w:rPr>
                <w:rFonts w:ascii="Helvetica" w:hAnsi="Helvetica"/>
                <w:color w:val="2B2B2B"/>
                <w:sz w:val="18"/>
              </w:rPr>
              <w:t>12</w:t>
            </w:r>
          </w:p>
        </w:tc>
        <w:tc>
          <w:tcPr>
            <w:tcW w:type="dxa" w:w="1872"/>
            <w:shd w:val="clear" w:color="auto" w:fill="F2F4F5"/>
          </w:tcPr>
          <w:p>
            <w:pPr>
              <w:spacing w:after="40" w:before="40"/>
            </w:pPr>
            <w:r>
              <w:rPr>
                <w:rFonts w:ascii="Helvetica" w:hAnsi="Helvetica"/>
                <w:color w:val="2B2B2B"/>
                <w:sz w:val="18"/>
              </w:rPr>
              <w:t>C0704</w:t>
            </w:r>
          </w:p>
        </w:tc>
        <w:tc>
          <w:tcPr>
            <w:tcW w:type="dxa" w:w="1872"/>
            <w:shd w:val="clear" w:color="auto" w:fill="F2F4F5"/>
          </w:tcPr>
          <w:p>
            <w:pPr>
              <w:spacing w:after="40" w:before="40"/>
            </w:pPr>
            <w:r>
              <w:rPr>
                <w:rFonts w:ascii="Helvetica" w:hAnsi="Helvetica"/>
                <w:color w:val="2B2B2B"/>
                <w:sz w:val="18"/>
              </w:rPr>
              <w:t>Meridian Industries Corp.</w:t>
            </w:r>
          </w:p>
        </w:tc>
        <w:tc>
          <w:tcPr>
            <w:tcW w:type="dxa" w:w="1872"/>
            <w:shd w:val="clear" w:color="auto" w:fill="F2F4F5"/>
          </w:tcPr>
          <w:p>
            <w:pPr>
              <w:spacing w:after="40" w:before="40"/>
            </w:pPr>
            <w:r>
              <w:rPr>
                <w:rFonts w:ascii="Helvetica" w:hAnsi="Helvetica"/>
                <w:color w:val="2B2B2B"/>
                <w:sz w:val="18"/>
              </w:rPr>
              <w:t>$368,485.48</w:t>
            </w:r>
          </w:p>
        </w:tc>
        <w:tc>
          <w:tcPr>
            <w:tcW w:type="dxa" w:w="1872"/>
            <w:shd w:val="clear" w:color="auto" w:fill="F2F4F5"/>
          </w:tcPr>
          <w:p>
            <w:pPr>
              <w:spacing w:after="40" w:before="40"/>
            </w:pPr>
            <w:r>
              <w:rPr>
                <w:rFonts w:ascii="Helvetica" w:hAnsi="Helvetica"/>
                <w:color w:val="2B2B2B"/>
                <w:sz w:val="18"/>
              </w:rPr>
              <w:t>0.53%</w:t>
            </w:r>
          </w:p>
        </w:tc>
      </w:tr>
      <w:tr>
        <w:tc>
          <w:tcPr>
            <w:tcW w:type="dxa" w:w="1872"/>
          </w:tcPr>
          <w:p>
            <w:pPr>
              <w:spacing w:after="40" w:before="40"/>
            </w:pPr>
            <w:r>
              <w:rPr>
                <w:rFonts w:ascii="Helvetica" w:hAnsi="Helvetica"/>
                <w:color w:val="2B2B2B"/>
                <w:sz w:val="18"/>
              </w:rPr>
              <w:t>13</w:t>
            </w:r>
          </w:p>
        </w:tc>
        <w:tc>
          <w:tcPr>
            <w:tcW w:type="dxa" w:w="1872"/>
          </w:tcPr>
          <w:p>
            <w:pPr>
              <w:spacing w:after="40" w:before="40"/>
            </w:pPr>
            <w:r>
              <w:rPr>
                <w:rFonts w:ascii="Helvetica" w:hAnsi="Helvetica"/>
                <w:color w:val="2B2B2B"/>
                <w:sz w:val="18"/>
              </w:rPr>
              <w:t>C1683</w:t>
            </w:r>
          </w:p>
        </w:tc>
        <w:tc>
          <w:tcPr>
            <w:tcW w:type="dxa" w:w="1872"/>
          </w:tcPr>
          <w:p>
            <w:pPr>
              <w:spacing w:after="40" w:before="40"/>
            </w:pPr>
            <w:r>
              <w:rPr>
                <w:rFonts w:ascii="Helvetica" w:hAnsi="Helvetica"/>
                <w:color w:val="2B2B2B"/>
                <w:sz w:val="18"/>
              </w:rPr>
              <w:t>Westbrook Logistics LLC</w:t>
            </w:r>
          </w:p>
        </w:tc>
        <w:tc>
          <w:tcPr>
            <w:tcW w:type="dxa" w:w="1872"/>
          </w:tcPr>
          <w:p>
            <w:pPr>
              <w:spacing w:after="40" w:before="40"/>
            </w:pPr>
            <w:r>
              <w:rPr>
                <w:rFonts w:ascii="Helvetica" w:hAnsi="Helvetica"/>
                <w:color w:val="2B2B2B"/>
                <w:sz w:val="18"/>
              </w:rPr>
              <w:t>$354,785.74</w:t>
            </w:r>
          </w:p>
        </w:tc>
        <w:tc>
          <w:tcPr>
            <w:tcW w:type="dxa" w:w="1872"/>
          </w:tcPr>
          <w:p>
            <w:pPr>
              <w:spacing w:after="40" w:before="40"/>
            </w:pPr>
            <w:r>
              <w:rPr>
                <w:rFonts w:ascii="Helvetica" w:hAnsi="Helvetica"/>
                <w:color w:val="2B2B2B"/>
                <w:sz w:val="18"/>
              </w:rPr>
              <w:t>0.51%</w:t>
            </w:r>
          </w:p>
        </w:tc>
      </w:tr>
      <w:tr>
        <w:tc>
          <w:tcPr>
            <w:tcW w:type="dxa" w:w="1872"/>
            <w:shd w:val="clear" w:color="auto" w:fill="F2F4F5"/>
          </w:tcPr>
          <w:p>
            <w:pPr>
              <w:spacing w:after="40" w:before="40"/>
            </w:pPr>
            <w:r>
              <w:rPr>
                <w:rFonts w:ascii="Helvetica" w:hAnsi="Helvetica"/>
                <w:color w:val="2B2B2B"/>
                <w:sz w:val="18"/>
              </w:rPr>
              <w:t>14</w:t>
            </w:r>
          </w:p>
        </w:tc>
        <w:tc>
          <w:tcPr>
            <w:tcW w:type="dxa" w:w="1872"/>
            <w:shd w:val="clear" w:color="auto" w:fill="F2F4F5"/>
          </w:tcPr>
          <w:p>
            <w:pPr>
              <w:spacing w:after="40" w:before="40"/>
            </w:pPr>
            <w:r>
              <w:rPr>
                <w:rFonts w:ascii="Helvetica" w:hAnsi="Helvetica"/>
                <w:color w:val="2B2B2B"/>
                <w:sz w:val="18"/>
              </w:rPr>
              <w:t>C0019</w:t>
            </w:r>
          </w:p>
        </w:tc>
        <w:tc>
          <w:tcPr>
            <w:tcW w:type="dxa" w:w="1872"/>
            <w:shd w:val="clear" w:color="auto" w:fill="F2F4F5"/>
          </w:tcPr>
          <w:p>
            <w:pPr>
              <w:spacing w:after="40" w:before="40"/>
            </w:pPr>
            <w:r>
              <w:rPr>
                <w:rFonts w:ascii="Helvetica" w:hAnsi="Helvetica"/>
                <w:color w:val="2B2B2B"/>
                <w:sz w:val="18"/>
              </w:rPr>
              <w:t>Fleuve Santé ltée</w:t>
            </w:r>
          </w:p>
        </w:tc>
        <w:tc>
          <w:tcPr>
            <w:tcW w:type="dxa" w:w="1872"/>
            <w:shd w:val="clear" w:color="auto" w:fill="F2F4F5"/>
          </w:tcPr>
          <w:p>
            <w:pPr>
              <w:spacing w:after="40" w:before="40"/>
            </w:pPr>
            <w:r>
              <w:rPr>
                <w:rFonts w:ascii="Helvetica" w:hAnsi="Helvetica"/>
                <w:color w:val="2B2B2B"/>
                <w:sz w:val="18"/>
              </w:rPr>
              <w:t>$344,984.56</w:t>
            </w:r>
          </w:p>
        </w:tc>
        <w:tc>
          <w:tcPr>
            <w:tcW w:type="dxa" w:w="1872"/>
            <w:shd w:val="clear" w:color="auto" w:fill="F2F4F5"/>
          </w:tcPr>
          <w:p>
            <w:pPr>
              <w:spacing w:after="40" w:before="40"/>
            </w:pPr>
            <w:r>
              <w:rPr>
                <w:rFonts w:ascii="Helvetica" w:hAnsi="Helvetica"/>
                <w:color w:val="2B2B2B"/>
                <w:sz w:val="18"/>
              </w:rPr>
              <w:t>0.5%</w:t>
            </w:r>
          </w:p>
        </w:tc>
      </w:tr>
      <w:tr>
        <w:tc>
          <w:tcPr>
            <w:tcW w:type="dxa" w:w="1872"/>
          </w:tcPr>
          <w:p>
            <w:pPr>
              <w:spacing w:after="40" w:before="40"/>
            </w:pPr>
            <w:r>
              <w:rPr>
                <w:rFonts w:ascii="Helvetica" w:hAnsi="Helvetica"/>
                <w:color w:val="2B2B2B"/>
                <w:sz w:val="18"/>
              </w:rPr>
              <w:t>15</w:t>
            </w:r>
          </w:p>
        </w:tc>
        <w:tc>
          <w:tcPr>
            <w:tcW w:type="dxa" w:w="1872"/>
          </w:tcPr>
          <w:p>
            <w:pPr>
              <w:spacing w:after="40" w:before="40"/>
            </w:pPr>
            <w:r>
              <w:rPr>
                <w:rFonts w:ascii="Helvetica" w:hAnsi="Helvetica"/>
                <w:color w:val="2B2B2B"/>
                <w:sz w:val="18"/>
              </w:rPr>
              <w:t>C1156</w:t>
            </w:r>
          </w:p>
        </w:tc>
        <w:tc>
          <w:tcPr>
            <w:tcW w:type="dxa" w:w="1872"/>
          </w:tcPr>
          <w:p>
            <w:pPr>
              <w:spacing w:after="40" w:before="40"/>
            </w:pPr>
            <w:r>
              <w:rPr>
                <w:rFonts w:ascii="Helvetica" w:hAnsi="Helvetica"/>
                <w:color w:val="2B2B2B"/>
                <w:sz w:val="18"/>
              </w:rPr>
              <w:t>Érable Mauricie Collège Inc.</w:t>
            </w:r>
          </w:p>
        </w:tc>
        <w:tc>
          <w:tcPr>
            <w:tcW w:type="dxa" w:w="1872"/>
          </w:tcPr>
          <w:p>
            <w:pPr>
              <w:spacing w:after="40" w:before="40"/>
            </w:pPr>
            <w:r>
              <w:rPr>
                <w:rFonts w:ascii="Helvetica" w:hAnsi="Helvetica"/>
                <w:color w:val="2B2B2B"/>
                <w:sz w:val="18"/>
              </w:rPr>
              <w:t>$339,754.87</w:t>
            </w:r>
          </w:p>
        </w:tc>
        <w:tc>
          <w:tcPr>
            <w:tcW w:type="dxa" w:w="1872"/>
          </w:tcPr>
          <w:p>
            <w:pPr>
              <w:spacing w:after="40" w:before="40"/>
            </w:pPr>
            <w:r>
              <w:rPr>
                <w:rFonts w:ascii="Helvetica" w:hAnsi="Helvetica"/>
                <w:color w:val="2B2B2B"/>
                <w:sz w:val="18"/>
              </w:rPr>
              <w:t>0.49%</w:t>
            </w:r>
          </w:p>
        </w:tc>
      </w:tr>
      <w:tr>
        <w:tc>
          <w:tcPr>
            <w:tcW w:type="dxa" w:w="1872"/>
            <w:shd w:val="clear" w:color="auto" w:fill="F2F4F5"/>
          </w:tcPr>
          <w:p>
            <w:pPr>
              <w:spacing w:after="40" w:before="40"/>
            </w:pPr>
            <w:r>
              <w:rPr>
                <w:rFonts w:ascii="Helvetica" w:hAnsi="Helvetica"/>
                <w:color w:val="2B2B2B"/>
                <w:sz w:val="18"/>
              </w:rPr>
              <w:t>16</w:t>
            </w:r>
          </w:p>
        </w:tc>
        <w:tc>
          <w:tcPr>
            <w:tcW w:type="dxa" w:w="1872"/>
            <w:shd w:val="clear" w:color="auto" w:fill="F2F4F5"/>
          </w:tcPr>
          <w:p>
            <w:pPr>
              <w:spacing w:after="40" w:before="40"/>
            </w:pPr>
            <w:r>
              <w:rPr>
                <w:rFonts w:ascii="Helvetica" w:hAnsi="Helvetica"/>
                <w:color w:val="2B2B2B"/>
                <w:sz w:val="18"/>
              </w:rPr>
              <w:t>C1190</w:t>
            </w:r>
          </w:p>
        </w:tc>
        <w:tc>
          <w:tcPr>
            <w:tcW w:type="dxa" w:w="1872"/>
            <w:shd w:val="clear" w:color="auto" w:fill="F2F4F5"/>
          </w:tcPr>
          <w:p>
            <w:pPr>
              <w:spacing w:after="40" w:before="40"/>
            </w:pPr>
            <w:r>
              <w:rPr>
                <w:rFonts w:ascii="Helvetica" w:hAnsi="Helvetica"/>
                <w:color w:val="2B2B2B"/>
                <w:sz w:val="18"/>
              </w:rPr>
              <w:t>Fleuve Beauport Logistique inc.</w:t>
            </w:r>
          </w:p>
        </w:tc>
        <w:tc>
          <w:tcPr>
            <w:tcW w:type="dxa" w:w="1872"/>
            <w:shd w:val="clear" w:color="auto" w:fill="F2F4F5"/>
          </w:tcPr>
          <w:p>
            <w:pPr>
              <w:spacing w:after="40" w:before="40"/>
            </w:pPr>
            <w:r>
              <w:rPr>
                <w:rFonts w:ascii="Helvetica" w:hAnsi="Helvetica"/>
                <w:color w:val="2B2B2B"/>
                <w:sz w:val="18"/>
              </w:rPr>
              <w:t>$332,883.86</w:t>
            </w:r>
          </w:p>
        </w:tc>
        <w:tc>
          <w:tcPr>
            <w:tcW w:type="dxa" w:w="1872"/>
            <w:shd w:val="clear" w:color="auto" w:fill="F2F4F5"/>
          </w:tcPr>
          <w:p>
            <w:pPr>
              <w:spacing w:after="40" w:before="40"/>
            </w:pPr>
            <w:r>
              <w:rPr>
                <w:rFonts w:ascii="Helvetica" w:hAnsi="Helvetica"/>
                <w:color w:val="2B2B2B"/>
                <w:sz w:val="18"/>
              </w:rPr>
              <w:t>0.48%</w:t>
            </w:r>
          </w:p>
        </w:tc>
      </w:tr>
      <w:tr>
        <w:tc>
          <w:tcPr>
            <w:tcW w:type="dxa" w:w="1872"/>
          </w:tcPr>
          <w:p>
            <w:pPr>
              <w:spacing w:after="40" w:before="40"/>
            </w:pPr>
            <w:r>
              <w:rPr>
                <w:rFonts w:ascii="Helvetica" w:hAnsi="Helvetica"/>
                <w:color w:val="2B2B2B"/>
                <w:sz w:val="18"/>
              </w:rPr>
              <w:t>17</w:t>
            </w:r>
          </w:p>
        </w:tc>
        <w:tc>
          <w:tcPr>
            <w:tcW w:type="dxa" w:w="1872"/>
          </w:tcPr>
          <w:p>
            <w:pPr>
              <w:spacing w:after="40" w:before="40"/>
            </w:pPr>
            <w:r>
              <w:rPr>
                <w:rFonts w:ascii="Helvetica" w:hAnsi="Helvetica"/>
                <w:color w:val="2B2B2B"/>
                <w:sz w:val="18"/>
              </w:rPr>
              <w:t>C1622</w:t>
            </w:r>
          </w:p>
        </w:tc>
        <w:tc>
          <w:tcPr>
            <w:tcW w:type="dxa" w:w="1872"/>
          </w:tcPr>
          <w:p>
            <w:pPr>
              <w:spacing w:after="40" w:before="40"/>
            </w:pPr>
            <w:r>
              <w:rPr>
                <w:rFonts w:ascii="Helvetica" w:hAnsi="Helvetica"/>
                <w:color w:val="2B2B2B"/>
                <w:sz w:val="18"/>
              </w:rPr>
              <w:t>Bluewater Distribution Ltd.</w:t>
            </w:r>
          </w:p>
        </w:tc>
        <w:tc>
          <w:tcPr>
            <w:tcW w:type="dxa" w:w="1872"/>
          </w:tcPr>
          <w:p>
            <w:pPr>
              <w:spacing w:after="40" w:before="40"/>
            </w:pPr>
            <w:r>
              <w:rPr>
                <w:rFonts w:ascii="Helvetica" w:hAnsi="Helvetica"/>
                <w:color w:val="2B2B2B"/>
                <w:sz w:val="18"/>
              </w:rPr>
              <w:t>$331,884.60</w:t>
            </w:r>
          </w:p>
        </w:tc>
        <w:tc>
          <w:tcPr>
            <w:tcW w:type="dxa" w:w="1872"/>
          </w:tcPr>
          <w:p>
            <w:pPr>
              <w:spacing w:after="40" w:before="40"/>
            </w:pPr>
            <w:r>
              <w:rPr>
                <w:rFonts w:ascii="Helvetica" w:hAnsi="Helvetica"/>
                <w:color w:val="2B2B2B"/>
                <w:sz w:val="18"/>
              </w:rPr>
              <w:t>0.48%</w:t>
            </w:r>
          </w:p>
        </w:tc>
      </w:tr>
      <w:tr>
        <w:tc>
          <w:tcPr>
            <w:tcW w:type="dxa" w:w="1872"/>
            <w:shd w:val="clear" w:color="auto" w:fill="F2F4F5"/>
          </w:tcPr>
          <w:p>
            <w:pPr>
              <w:spacing w:after="40" w:before="40"/>
            </w:pPr>
            <w:r>
              <w:rPr>
                <w:rFonts w:ascii="Helvetica" w:hAnsi="Helvetica"/>
                <w:color w:val="2B2B2B"/>
                <w:sz w:val="18"/>
              </w:rPr>
              <w:t>18</w:t>
            </w:r>
          </w:p>
        </w:tc>
        <w:tc>
          <w:tcPr>
            <w:tcW w:type="dxa" w:w="1872"/>
            <w:shd w:val="clear" w:color="auto" w:fill="F2F4F5"/>
          </w:tcPr>
          <w:p>
            <w:pPr>
              <w:spacing w:after="40" w:before="40"/>
            </w:pPr>
            <w:r>
              <w:rPr>
                <w:rFonts w:ascii="Helvetica" w:hAnsi="Helvetica"/>
                <w:color w:val="2B2B2B"/>
                <w:sz w:val="18"/>
              </w:rPr>
              <w:t>C0685</w:t>
            </w:r>
          </w:p>
        </w:tc>
        <w:tc>
          <w:tcPr>
            <w:tcW w:type="dxa" w:w="1872"/>
            <w:shd w:val="clear" w:color="auto" w:fill="F2F4F5"/>
          </w:tcPr>
          <w:p>
            <w:pPr>
              <w:spacing w:after="40" w:before="40"/>
            </w:pPr>
            <w:r>
              <w:rPr>
                <w:rFonts w:ascii="Helvetica" w:hAnsi="Helvetica"/>
                <w:color w:val="2B2B2B"/>
                <w:sz w:val="18"/>
              </w:rPr>
              <w:t>Nimbus Distribution Corp.</w:t>
            </w:r>
          </w:p>
        </w:tc>
        <w:tc>
          <w:tcPr>
            <w:tcW w:type="dxa" w:w="1872"/>
            <w:shd w:val="clear" w:color="auto" w:fill="F2F4F5"/>
          </w:tcPr>
          <w:p>
            <w:pPr>
              <w:spacing w:after="40" w:before="40"/>
            </w:pPr>
            <w:r>
              <w:rPr>
                <w:rFonts w:ascii="Helvetica" w:hAnsi="Helvetica"/>
                <w:color w:val="2B2B2B"/>
                <w:sz w:val="18"/>
              </w:rPr>
              <w:t>$322,878.48</w:t>
            </w:r>
          </w:p>
        </w:tc>
        <w:tc>
          <w:tcPr>
            <w:tcW w:type="dxa" w:w="1872"/>
            <w:shd w:val="clear" w:color="auto" w:fill="F2F4F5"/>
          </w:tcPr>
          <w:p>
            <w:pPr>
              <w:spacing w:after="40" w:before="40"/>
            </w:pPr>
            <w:r>
              <w:rPr>
                <w:rFonts w:ascii="Helvetica" w:hAnsi="Helvetica"/>
                <w:color w:val="2B2B2B"/>
                <w:sz w:val="18"/>
              </w:rPr>
              <w:t>0.47%</w:t>
            </w:r>
          </w:p>
        </w:tc>
      </w:tr>
      <w:tr>
        <w:tc>
          <w:tcPr>
            <w:tcW w:type="dxa" w:w="1872"/>
          </w:tcPr>
          <w:p>
            <w:pPr>
              <w:spacing w:after="40" w:before="40"/>
            </w:pPr>
            <w:r>
              <w:rPr>
                <w:rFonts w:ascii="Helvetica" w:hAnsi="Helvetica"/>
                <w:color w:val="2B2B2B"/>
                <w:sz w:val="18"/>
              </w:rPr>
              <w:t>19</w:t>
            </w:r>
          </w:p>
        </w:tc>
        <w:tc>
          <w:tcPr>
            <w:tcW w:type="dxa" w:w="1872"/>
          </w:tcPr>
          <w:p>
            <w:pPr>
              <w:spacing w:after="40" w:before="40"/>
            </w:pPr>
            <w:r>
              <w:rPr>
                <w:rFonts w:ascii="Helvetica" w:hAnsi="Helvetica"/>
                <w:color w:val="2B2B2B"/>
                <w:sz w:val="18"/>
              </w:rPr>
              <w:t>C0092</w:t>
            </w:r>
          </w:p>
        </w:tc>
        <w:tc>
          <w:tcPr>
            <w:tcW w:type="dxa" w:w="1872"/>
          </w:tcPr>
          <w:p>
            <w:pPr>
              <w:spacing w:after="40" w:before="40"/>
            </w:pPr>
            <w:r>
              <w:rPr>
                <w:rFonts w:ascii="Helvetica" w:hAnsi="Helvetica"/>
                <w:color w:val="2B2B2B"/>
                <w:sz w:val="18"/>
              </w:rPr>
              <w:t>Evergreen Trading Ltd.</w:t>
            </w:r>
          </w:p>
        </w:tc>
        <w:tc>
          <w:tcPr>
            <w:tcW w:type="dxa" w:w="1872"/>
          </w:tcPr>
          <w:p>
            <w:pPr>
              <w:spacing w:after="40" w:before="40"/>
            </w:pPr>
            <w:r>
              <w:rPr>
                <w:rFonts w:ascii="Helvetica" w:hAnsi="Helvetica"/>
                <w:color w:val="2B2B2B"/>
                <w:sz w:val="18"/>
              </w:rPr>
              <w:t>$319,419.44</w:t>
            </w:r>
          </w:p>
        </w:tc>
        <w:tc>
          <w:tcPr>
            <w:tcW w:type="dxa" w:w="1872"/>
          </w:tcPr>
          <w:p>
            <w:pPr>
              <w:spacing w:after="40" w:before="40"/>
            </w:pPr>
            <w:r>
              <w:rPr>
                <w:rFonts w:ascii="Helvetica" w:hAnsi="Helvetica"/>
                <w:color w:val="2B2B2B"/>
                <w:sz w:val="18"/>
              </w:rPr>
              <w:t>0.46%</w:t>
            </w:r>
          </w:p>
        </w:tc>
      </w:tr>
      <w:tr>
        <w:tc>
          <w:tcPr>
            <w:tcW w:type="dxa" w:w="1872"/>
            <w:shd w:val="clear" w:color="auto" w:fill="F2F4F5"/>
          </w:tcPr>
          <w:p>
            <w:pPr>
              <w:spacing w:after="40" w:before="40"/>
            </w:pPr>
            <w:r>
              <w:rPr>
                <w:rFonts w:ascii="Helvetica" w:hAnsi="Helvetica"/>
                <w:color w:val="2B2B2B"/>
                <w:sz w:val="18"/>
              </w:rPr>
              <w:t>20</w:t>
            </w:r>
          </w:p>
        </w:tc>
        <w:tc>
          <w:tcPr>
            <w:tcW w:type="dxa" w:w="1872"/>
            <w:shd w:val="clear" w:color="auto" w:fill="F2F4F5"/>
          </w:tcPr>
          <w:p>
            <w:pPr>
              <w:spacing w:after="40" w:before="40"/>
            </w:pPr>
            <w:r>
              <w:rPr>
                <w:rFonts w:ascii="Helvetica" w:hAnsi="Helvetica"/>
                <w:color w:val="2B2B2B"/>
                <w:sz w:val="18"/>
              </w:rPr>
              <w:t>C0419</w:t>
            </w:r>
          </w:p>
        </w:tc>
        <w:tc>
          <w:tcPr>
            <w:tcW w:type="dxa" w:w="1872"/>
            <w:shd w:val="clear" w:color="auto" w:fill="F2F4F5"/>
          </w:tcPr>
          <w:p>
            <w:pPr>
              <w:spacing w:after="40" w:before="40"/>
            </w:pPr>
            <w:r>
              <w:rPr>
                <w:rFonts w:ascii="Helvetica" w:hAnsi="Helvetica"/>
                <w:color w:val="2B2B2B"/>
                <w:sz w:val="18"/>
              </w:rPr>
              <w:t>Stonebridge Freight Ltd.</w:t>
            </w:r>
          </w:p>
        </w:tc>
        <w:tc>
          <w:tcPr>
            <w:tcW w:type="dxa" w:w="1872"/>
            <w:shd w:val="clear" w:color="auto" w:fill="F2F4F5"/>
          </w:tcPr>
          <w:p>
            <w:pPr>
              <w:spacing w:after="40" w:before="40"/>
            </w:pPr>
            <w:r>
              <w:rPr>
                <w:rFonts w:ascii="Helvetica" w:hAnsi="Helvetica"/>
                <w:color w:val="2B2B2B"/>
                <w:sz w:val="18"/>
              </w:rPr>
              <w:t>$314,446.85</w:t>
            </w:r>
          </w:p>
        </w:tc>
        <w:tc>
          <w:tcPr>
            <w:tcW w:type="dxa" w:w="1872"/>
            <w:shd w:val="clear" w:color="auto" w:fill="F2F4F5"/>
          </w:tcPr>
          <w:p>
            <w:pPr>
              <w:spacing w:after="40" w:before="40"/>
            </w:pPr>
            <w:r>
              <w:rPr>
                <w:rFonts w:ascii="Helvetica" w:hAnsi="Helvetica"/>
                <w:color w:val="2B2B2B"/>
                <w:sz w:val="18"/>
              </w:rPr>
              <w:t>0.45%</w:t>
            </w:r>
          </w:p>
        </w:tc>
      </w:tr>
    </w:tbl>
    <w:p>
      <w:pPr>
        <w:spacing w:after="40"/>
      </w:pPr>
      <w:r>
        <w:rPr>
          <w:rFonts w:ascii="Helvetica" w:hAnsi="Helvetica"/>
          <w:b w:val="0"/>
          <w:i w:val="0"/>
          <w:color w:val="2B2B2B"/>
          <w:sz w:val="22"/>
        </w:rPr>
      </w:r>
    </w:p>
    <w:p>
      <w:pPr>
        <w:spacing w:after="80"/>
      </w:pPr>
      <w:r>
        <w:rPr>
          <w:rFonts w:ascii="Helvetica" w:hAnsi="Helvetica"/>
          <w:b/>
          <w:i w:val="0"/>
          <w:color w:val="2B2B2B"/>
          <w:sz w:val="22"/>
        </w:rPr>
        <w:t>Revenue by country, FY2025</w:t>
      </w:r>
    </w:p>
    <w:p>
      <w:pPr>
        <w:spacing w:after="80"/>
      </w:pPr>
      <w:r>
        <w:rPr>
          <w:rFonts w:ascii="Helvetica" w:hAnsi="Helvetica"/>
          <w:b w:val="0"/>
          <w:i w:val="0"/>
          <w:color w:val="2B2B2B"/>
          <w:sz w:val="22"/>
        </w:rPr>
        <w:t>Canada was Acme Co’s largest market, generating $48,209,042.23 (69.7% of revenue) across 4,474 orders. The United Arab Emirates was the second-largest market at $11,726,342.95 (17.0% of revenue) across 1,069 orders. The remaining markets were Saudi Arabia (5.7%), the United States (3.6%), Qatar (2.2%), and Oman (1.8%).</w:t>
      </w:r>
    </w:p>
    <w:tbl>
      <w:tblPr>
        <w:tblW w:type="auto" w:w="0"/>
        <w:tblLayout w:type="fixed"/>
        <w:tblLook w:firstColumn="1" w:firstRow="1" w:lastColumn="0" w:lastRow="0" w:noHBand="0" w:noVBand="1" w:val="04A0"/>
      </w:tblPr>
      <w:tblGrid>
        <w:gridCol w:w="2340"/>
        <w:gridCol w:w="2340"/>
        <w:gridCol w:w="2340"/>
        <w:gridCol w:w="2340"/>
      </w:tblGrid>
      <w:tr>
        <w:tc>
          <w:tcPr>
            <w:tcW w:type="dxa" w:w="1440"/>
            <w:shd w:val="clear" w:color="auto" w:fill="0B3C5D"/>
          </w:tcPr>
          <w:p>
            <w:pPr>
              <w:spacing w:after="40" w:before="40"/>
              <w:jc w:val="center"/>
            </w:pPr>
            <w:r>
              <w:rPr>
                <w:rFonts w:ascii="Helvetica-Bold" w:hAnsi="Helvetica-Bold"/>
                <w:b/>
                <w:color w:val="FFFFFF"/>
                <w:sz w:val="20"/>
              </w:rPr>
              <w:t>Country</w:t>
            </w:r>
          </w:p>
        </w:tc>
        <w:tc>
          <w:tcPr>
            <w:tcW w:type="dxa" w:w="2736"/>
            <w:shd w:val="clear" w:color="auto" w:fill="0B3C5D"/>
          </w:tcPr>
          <w:p>
            <w:pPr>
              <w:spacing w:after="40" w:before="40"/>
              <w:jc w:val="center"/>
            </w:pPr>
            <w:r>
              <w:rPr>
                <w:rFonts w:ascii="Helvetica-Bold" w:hAnsi="Helvetica-Bold"/>
                <w:b/>
                <w:color w:val="FFFFFF"/>
                <w:sz w:val="20"/>
              </w:rPr>
              <w:t>Revenue</w:t>
            </w:r>
          </w:p>
        </w:tc>
        <w:tc>
          <w:tcPr>
            <w:tcW w:type="dxa" w:w="2304"/>
            <w:shd w:val="clear" w:color="auto" w:fill="0B3C5D"/>
          </w:tcPr>
          <w:p>
            <w:pPr>
              <w:spacing w:after="40" w:before="40"/>
              <w:jc w:val="center"/>
            </w:pPr>
            <w:r>
              <w:rPr>
                <w:rFonts w:ascii="Helvetica-Bold" w:hAnsi="Helvetica-Bold"/>
                <w:b/>
                <w:color w:val="FFFFFF"/>
                <w:sz w:val="20"/>
              </w:rPr>
              <w:t>Share of revenue</w:t>
            </w:r>
          </w:p>
        </w:tc>
        <w:tc>
          <w:tcPr>
            <w:tcW w:type="dxa" w:w="1440"/>
            <w:shd w:val="clear" w:color="auto" w:fill="0B3C5D"/>
          </w:tcPr>
          <w:p>
            <w:pPr>
              <w:spacing w:after="40" w:before="40"/>
              <w:jc w:val="center"/>
            </w:pPr>
            <w:r>
              <w:rPr>
                <w:rFonts w:ascii="Helvetica-Bold" w:hAnsi="Helvetica-Bold"/>
                <w:b/>
                <w:color w:val="FFFFFF"/>
                <w:sz w:val="20"/>
              </w:rPr>
              <w:t>Orders</w:t>
            </w:r>
          </w:p>
        </w:tc>
      </w:tr>
      <w:tr>
        <w:tc>
          <w:tcPr>
            <w:tcW w:type="dxa" w:w="2340"/>
          </w:tcPr>
          <w:p>
            <w:pPr>
              <w:spacing w:after="40" w:before="40"/>
            </w:pPr>
            <w:r>
              <w:rPr>
                <w:rFonts w:ascii="Helvetica" w:hAnsi="Helvetica"/>
                <w:color w:val="2B2B2B"/>
                <w:sz w:val="20"/>
              </w:rPr>
              <w:t>CA</w:t>
            </w:r>
          </w:p>
        </w:tc>
        <w:tc>
          <w:tcPr>
            <w:tcW w:type="dxa" w:w="2340"/>
          </w:tcPr>
          <w:p>
            <w:pPr>
              <w:spacing w:after="40" w:before="40"/>
            </w:pPr>
            <w:r>
              <w:rPr>
                <w:rFonts w:ascii="Helvetica" w:hAnsi="Helvetica"/>
                <w:color w:val="2B2B2B"/>
                <w:sz w:val="20"/>
              </w:rPr>
              <w:t>$48,209,042.23</w:t>
            </w:r>
          </w:p>
        </w:tc>
        <w:tc>
          <w:tcPr>
            <w:tcW w:type="dxa" w:w="2340"/>
          </w:tcPr>
          <w:p>
            <w:pPr>
              <w:spacing w:after="40" w:before="40"/>
            </w:pPr>
            <w:r>
              <w:rPr>
                <w:rFonts w:ascii="Helvetica" w:hAnsi="Helvetica"/>
                <w:color w:val="2B2B2B"/>
                <w:sz w:val="20"/>
              </w:rPr>
              <w:t>69.7%</w:t>
            </w:r>
          </w:p>
        </w:tc>
        <w:tc>
          <w:tcPr>
            <w:tcW w:type="dxa" w:w="2340"/>
          </w:tcPr>
          <w:p>
            <w:pPr>
              <w:spacing w:after="40" w:before="40"/>
            </w:pPr>
            <w:r>
              <w:rPr>
                <w:rFonts w:ascii="Helvetica" w:hAnsi="Helvetica"/>
                <w:color w:val="2B2B2B"/>
                <w:sz w:val="20"/>
              </w:rPr>
              <w:t>4,474</w:t>
            </w:r>
          </w:p>
        </w:tc>
      </w:tr>
      <w:tr>
        <w:tc>
          <w:tcPr>
            <w:tcW w:type="dxa" w:w="2340"/>
            <w:shd w:val="clear" w:color="auto" w:fill="F2F4F5"/>
          </w:tcPr>
          <w:p>
            <w:pPr>
              <w:spacing w:after="40" w:before="40"/>
            </w:pPr>
            <w:r>
              <w:rPr>
                <w:rFonts w:ascii="Helvetica" w:hAnsi="Helvetica"/>
                <w:color w:val="2B2B2B"/>
                <w:sz w:val="20"/>
              </w:rPr>
              <w:t>AE</w:t>
            </w:r>
          </w:p>
        </w:tc>
        <w:tc>
          <w:tcPr>
            <w:tcW w:type="dxa" w:w="2340"/>
            <w:shd w:val="clear" w:color="auto" w:fill="F2F4F5"/>
          </w:tcPr>
          <w:p>
            <w:pPr>
              <w:spacing w:after="40" w:before="40"/>
            </w:pPr>
            <w:r>
              <w:rPr>
                <w:rFonts w:ascii="Helvetica" w:hAnsi="Helvetica"/>
                <w:color w:val="2B2B2B"/>
                <w:sz w:val="20"/>
              </w:rPr>
              <w:t>$11,726,342.95</w:t>
            </w:r>
          </w:p>
        </w:tc>
        <w:tc>
          <w:tcPr>
            <w:tcW w:type="dxa" w:w="2340"/>
            <w:shd w:val="clear" w:color="auto" w:fill="F2F4F5"/>
          </w:tcPr>
          <w:p>
            <w:pPr>
              <w:spacing w:after="40" w:before="40"/>
            </w:pPr>
            <w:r>
              <w:rPr>
                <w:rFonts w:ascii="Helvetica" w:hAnsi="Helvetica"/>
                <w:color w:val="2B2B2B"/>
                <w:sz w:val="20"/>
              </w:rPr>
              <w:t>17.0%</w:t>
            </w:r>
          </w:p>
        </w:tc>
        <w:tc>
          <w:tcPr>
            <w:tcW w:type="dxa" w:w="2340"/>
            <w:shd w:val="clear" w:color="auto" w:fill="F2F4F5"/>
          </w:tcPr>
          <w:p>
            <w:pPr>
              <w:spacing w:after="40" w:before="40"/>
            </w:pPr>
            <w:r>
              <w:rPr>
                <w:rFonts w:ascii="Helvetica" w:hAnsi="Helvetica"/>
                <w:color w:val="2B2B2B"/>
                <w:sz w:val="20"/>
              </w:rPr>
              <w:t>1,069</w:t>
            </w:r>
          </w:p>
        </w:tc>
      </w:tr>
      <w:tr>
        <w:tc>
          <w:tcPr>
            <w:tcW w:type="dxa" w:w="2340"/>
          </w:tcPr>
          <w:p>
            <w:pPr>
              <w:spacing w:after="40" w:before="40"/>
            </w:pPr>
            <w:r>
              <w:rPr>
                <w:rFonts w:ascii="Helvetica" w:hAnsi="Helvetica"/>
                <w:color w:val="2B2B2B"/>
                <w:sz w:val="20"/>
              </w:rPr>
              <w:t>SA</w:t>
            </w:r>
          </w:p>
        </w:tc>
        <w:tc>
          <w:tcPr>
            <w:tcW w:type="dxa" w:w="2340"/>
          </w:tcPr>
          <w:p>
            <w:pPr>
              <w:spacing w:after="40" w:before="40"/>
            </w:pPr>
            <w:r>
              <w:rPr>
                <w:rFonts w:ascii="Helvetica" w:hAnsi="Helvetica"/>
                <w:color w:val="2B2B2B"/>
                <w:sz w:val="20"/>
              </w:rPr>
              <w:t>$3,961,855.28</w:t>
            </w:r>
          </w:p>
        </w:tc>
        <w:tc>
          <w:tcPr>
            <w:tcW w:type="dxa" w:w="2340"/>
          </w:tcPr>
          <w:p>
            <w:pPr>
              <w:spacing w:after="40" w:before="40"/>
            </w:pPr>
            <w:r>
              <w:rPr>
                <w:rFonts w:ascii="Helvetica" w:hAnsi="Helvetica"/>
                <w:color w:val="2B2B2B"/>
                <w:sz w:val="20"/>
              </w:rPr>
              <w:t>5.7%</w:t>
            </w:r>
          </w:p>
        </w:tc>
        <w:tc>
          <w:tcPr>
            <w:tcW w:type="dxa" w:w="2340"/>
          </w:tcPr>
          <w:p>
            <w:pPr>
              <w:spacing w:after="40" w:before="40"/>
            </w:pPr>
            <w:r>
              <w:rPr>
                <w:rFonts w:ascii="Helvetica" w:hAnsi="Helvetica"/>
                <w:color w:val="2B2B2B"/>
                <w:sz w:val="20"/>
              </w:rPr>
              <w:t>401</w:t>
            </w:r>
          </w:p>
        </w:tc>
      </w:tr>
      <w:tr>
        <w:tc>
          <w:tcPr>
            <w:tcW w:type="dxa" w:w="2340"/>
            <w:shd w:val="clear" w:color="auto" w:fill="F2F4F5"/>
          </w:tcPr>
          <w:p>
            <w:pPr>
              <w:spacing w:after="40" w:before="40"/>
            </w:pPr>
            <w:r>
              <w:rPr>
                <w:rFonts w:ascii="Helvetica" w:hAnsi="Helvetica"/>
                <w:color w:val="2B2B2B"/>
                <w:sz w:val="20"/>
              </w:rPr>
              <w:t>US</w:t>
            </w:r>
          </w:p>
        </w:tc>
        <w:tc>
          <w:tcPr>
            <w:tcW w:type="dxa" w:w="2340"/>
            <w:shd w:val="clear" w:color="auto" w:fill="F2F4F5"/>
          </w:tcPr>
          <w:p>
            <w:pPr>
              <w:spacing w:after="40" w:before="40"/>
            </w:pPr>
            <w:r>
              <w:rPr>
                <w:rFonts w:ascii="Helvetica" w:hAnsi="Helvetica"/>
                <w:color w:val="2B2B2B"/>
                <w:sz w:val="20"/>
              </w:rPr>
              <w:t>$2,491,954.15</w:t>
            </w:r>
          </w:p>
        </w:tc>
        <w:tc>
          <w:tcPr>
            <w:tcW w:type="dxa" w:w="2340"/>
            <w:shd w:val="clear" w:color="auto" w:fill="F2F4F5"/>
          </w:tcPr>
          <w:p>
            <w:pPr>
              <w:spacing w:after="40" w:before="40"/>
            </w:pPr>
            <w:r>
              <w:rPr>
                <w:rFonts w:ascii="Helvetica" w:hAnsi="Helvetica"/>
                <w:color w:val="2B2B2B"/>
                <w:sz w:val="20"/>
              </w:rPr>
              <w:t>3.6%</w:t>
            </w:r>
          </w:p>
        </w:tc>
        <w:tc>
          <w:tcPr>
            <w:tcW w:type="dxa" w:w="2340"/>
            <w:shd w:val="clear" w:color="auto" w:fill="F2F4F5"/>
          </w:tcPr>
          <w:p>
            <w:pPr>
              <w:spacing w:after="40" w:before="40"/>
            </w:pPr>
            <w:r>
              <w:rPr>
                <w:rFonts w:ascii="Helvetica" w:hAnsi="Helvetica"/>
                <w:color w:val="2B2B2B"/>
                <w:sz w:val="20"/>
              </w:rPr>
              <w:t>178</w:t>
            </w:r>
          </w:p>
        </w:tc>
      </w:tr>
      <w:tr>
        <w:tc>
          <w:tcPr>
            <w:tcW w:type="dxa" w:w="2340"/>
          </w:tcPr>
          <w:p>
            <w:pPr>
              <w:spacing w:after="40" w:before="40"/>
            </w:pPr>
            <w:r>
              <w:rPr>
                <w:rFonts w:ascii="Helvetica" w:hAnsi="Helvetica"/>
                <w:color w:val="2B2B2B"/>
                <w:sz w:val="20"/>
              </w:rPr>
              <w:t>QA</w:t>
            </w:r>
          </w:p>
        </w:tc>
        <w:tc>
          <w:tcPr>
            <w:tcW w:type="dxa" w:w="2340"/>
          </w:tcPr>
          <w:p>
            <w:pPr>
              <w:spacing w:after="40" w:before="40"/>
            </w:pPr>
            <w:r>
              <w:rPr>
                <w:rFonts w:ascii="Helvetica" w:hAnsi="Helvetica"/>
                <w:color w:val="2B2B2B"/>
                <w:sz w:val="20"/>
              </w:rPr>
              <w:t>$1,504,454.07</w:t>
            </w:r>
          </w:p>
        </w:tc>
        <w:tc>
          <w:tcPr>
            <w:tcW w:type="dxa" w:w="2340"/>
          </w:tcPr>
          <w:p>
            <w:pPr>
              <w:spacing w:after="40" w:before="40"/>
            </w:pPr>
            <w:r>
              <w:rPr>
                <w:rFonts w:ascii="Helvetica" w:hAnsi="Helvetica"/>
                <w:color w:val="2B2B2B"/>
                <w:sz w:val="20"/>
              </w:rPr>
              <w:t>2.2%</w:t>
            </w:r>
          </w:p>
        </w:tc>
        <w:tc>
          <w:tcPr>
            <w:tcW w:type="dxa" w:w="2340"/>
          </w:tcPr>
          <w:p>
            <w:pPr>
              <w:spacing w:after="40" w:before="40"/>
            </w:pPr>
            <w:r>
              <w:rPr>
                <w:rFonts w:ascii="Helvetica" w:hAnsi="Helvetica"/>
                <w:color w:val="2B2B2B"/>
                <w:sz w:val="20"/>
              </w:rPr>
              <w:t>114</w:t>
            </w:r>
          </w:p>
        </w:tc>
      </w:tr>
      <w:tr>
        <w:tc>
          <w:tcPr>
            <w:tcW w:type="dxa" w:w="2340"/>
            <w:shd w:val="clear" w:color="auto" w:fill="F2F4F5"/>
          </w:tcPr>
          <w:p>
            <w:pPr>
              <w:spacing w:after="40" w:before="40"/>
            </w:pPr>
            <w:r>
              <w:rPr>
                <w:rFonts w:ascii="Helvetica" w:hAnsi="Helvetica"/>
                <w:color w:val="2B2B2B"/>
                <w:sz w:val="20"/>
              </w:rPr>
              <w:t>OM</w:t>
            </w:r>
          </w:p>
        </w:tc>
        <w:tc>
          <w:tcPr>
            <w:tcW w:type="dxa" w:w="2340"/>
            <w:shd w:val="clear" w:color="auto" w:fill="F2F4F5"/>
          </w:tcPr>
          <w:p>
            <w:pPr>
              <w:spacing w:after="40" w:before="40"/>
            </w:pPr>
            <w:r>
              <w:rPr>
                <w:rFonts w:ascii="Helvetica" w:hAnsi="Helvetica"/>
                <w:color w:val="2B2B2B"/>
                <w:sz w:val="20"/>
              </w:rPr>
              <w:t>$1,252,653.88</w:t>
            </w:r>
          </w:p>
        </w:tc>
        <w:tc>
          <w:tcPr>
            <w:tcW w:type="dxa" w:w="2340"/>
            <w:shd w:val="clear" w:color="auto" w:fill="F2F4F5"/>
          </w:tcPr>
          <w:p>
            <w:pPr>
              <w:spacing w:after="40" w:before="40"/>
            </w:pPr>
            <w:r>
              <w:rPr>
                <w:rFonts w:ascii="Helvetica" w:hAnsi="Helvetica"/>
                <w:color w:val="2B2B2B"/>
                <w:sz w:val="20"/>
              </w:rPr>
              <w:t>1.8%</w:t>
            </w:r>
          </w:p>
        </w:tc>
        <w:tc>
          <w:tcPr>
            <w:tcW w:type="dxa" w:w="2340"/>
            <w:shd w:val="clear" w:color="auto" w:fill="F2F4F5"/>
          </w:tcPr>
          <w:p>
            <w:pPr>
              <w:spacing w:after="40" w:before="40"/>
            </w:pPr>
            <w:r>
              <w:rPr>
                <w:rFonts w:ascii="Helvetica" w:hAnsi="Helvetica"/>
                <w:color w:val="2B2B2B"/>
                <w:sz w:val="20"/>
              </w:rPr>
              <w:t>122</w:t>
            </w:r>
          </w:p>
        </w:tc>
      </w:tr>
    </w:tbl>
    <w:p>
      <w:r>
        <w:br w:type="page"/>
      </w:r>
    </w:p>
    <w:p>
      <w:pPr>
        <w:spacing w:before="320" w:after="160"/>
      </w:pPr>
      <w:r>
        <w:rPr>
          <w:rFonts w:ascii="Helvetica-Bold" w:hAnsi="Helvetica-Bold"/>
          <w:b/>
          <w:color w:val="0B3C5D"/>
          <w:sz w:val="48"/>
        </w:rPr>
        <w:t>Risk factors</w:t>
      </w:r>
    </w:p>
    <w:p>
      <w:pPr>
        <w:spacing w:after="120"/>
      </w:pPr>
      <w:r>
        <w:rPr>
          <w:rFonts w:ascii="Helvetica" w:hAnsi="Helvetica"/>
          <w:b w:val="0"/>
          <w:i w:val="0"/>
          <w:color w:val="2B2B2B"/>
          <w:sz w:val="22"/>
        </w:rPr>
        <w:t>Acme Co’s revenue is concentrated in a single product category and in a limited number of large customers. These concentration risks are stated plainly below.</w:t>
      </w:r>
    </w:p>
    <w:p>
      <w:pPr>
        <w:spacing w:after="120"/>
      </w:pPr>
      <w:r>
        <w:rPr>
          <w:rFonts w:ascii="Helvetica" w:hAnsi="Helvetica"/>
          <w:b w:val="0"/>
          <w:i w:val="0"/>
          <w:color w:val="2B2B2B"/>
          <w:sz w:val="22"/>
        </w:rPr>
        <w:t>Material Handling concentration. Material Handling represented 56.0% of Acme Co’s FY2025 revenue ($38,734,228.05). Because more than half of revenue derives from one category, a downturn in demand for material handling products could materially affect Acme Co’s overall revenue and financial results.</w:t>
      </w:r>
    </w:p>
    <w:p>
      <w:pPr>
        <w:spacing w:after="120"/>
      </w:pPr>
      <w:r>
        <w:rPr>
          <w:rFonts w:ascii="Helvetica" w:hAnsi="Helvetica"/>
          <w:b w:val="0"/>
          <w:i w:val="0"/>
          <w:color w:val="2B2B2B"/>
          <w:sz w:val="22"/>
        </w:rPr>
        <w:t>Top-20 customer concentration. The top 20 customers together accounted for 13.65% of FY2025 revenue. The largest customer, Foxglove Stores LLC, represented 1.34% of revenue. While no single customer dominates the revenue base, the collective share of the largest customers means that the loss of a significant customer relationship could impact results.</w:t>
      </w:r>
    </w:p>
    <w:p>
      <w:r>
        <w:br w:type="page"/>
      </w:r>
    </w:p>
    <w:p>
      <w:pPr>
        <w:spacing w:before="320" w:after="160"/>
      </w:pPr>
      <w:r>
        <w:rPr>
          <w:rFonts w:ascii="Helvetica-Bold" w:hAnsi="Helvetica-Bold"/>
          <w:b/>
          <w:color w:val="0B3C5D"/>
          <w:sz w:val="48"/>
        </w:rPr>
        <w:t>Outlook for FY2026</w:t>
      </w:r>
    </w:p>
    <w:p>
      <w:pPr>
        <w:spacing w:after="120"/>
      </w:pPr>
      <w:r>
        <w:rPr>
          <w:rFonts w:ascii="Helvetica" w:hAnsi="Helvetica"/>
          <w:b w:val="0"/>
          <w:i w:val="0"/>
          <w:color w:val="2B2B2B"/>
          <w:sz w:val="22"/>
        </w:rPr>
        <w:t>Looking ahead to FY2026, Acme Co will continue to serve customers from its two offices — head office in Toronto, Canada, and its Gulf office in Dubai, United Arab Emirates — and will focus on growing the order base across its industrial and office supply distribution business.</w:t>
      </w:r>
    </w:p>
    <w:p>
      <w:pPr>
        <w:spacing w:after="120"/>
      </w:pPr>
      <w:r>
        <w:rPr>
          <w:rFonts w:ascii="Helvetica" w:hAnsi="Helvetica"/>
          <w:b w:val="0"/>
          <w:i w:val="0"/>
          <w:color w:val="2B2B2B"/>
          <w:sz w:val="22"/>
        </w:rPr>
        <w:t>Management’s priorities for FY2026 include:</w:t>
      </w:r>
    </w:p>
    <w:p>
      <w:pPr>
        <w:spacing w:after="40"/>
      </w:pPr>
      <w:r>
        <w:rPr>
          <w:rFonts w:ascii="Helvetica" w:hAnsi="Helvetica"/>
          <w:b w:val="0"/>
          <w:i w:val="0"/>
          <w:color w:val="2B2B2B"/>
          <w:sz w:val="22"/>
        </w:rPr>
        <w:t>Growing revenue and order volume by serving existing and new customers across Canada, the United Arab Emirates, and other markets.</w:t>
      </w:r>
    </w:p>
    <w:p>
      <w:pPr>
        <w:spacing w:after="40"/>
      </w:pPr>
      <w:r>
        <w:rPr>
          <w:rFonts w:ascii="Helvetica" w:hAnsi="Helvetica"/>
          <w:b w:val="0"/>
          <w:i w:val="0"/>
          <w:color w:val="2B2B2B"/>
          <w:sz w:val="22"/>
        </w:rPr>
        <w:t>Managing the two principal concentration risks identified in this report: the concentration of revenue in Material Handling (56.0% of revenue) and the collective share of the top 20 customers (13.65% of revenue).</w:t>
      </w:r>
    </w:p>
    <w:p>
      <w:pPr>
        <w:spacing w:after="40"/>
      </w:pPr>
      <w:r>
        <w:rPr>
          <w:rFonts w:ascii="Helvetica" w:hAnsi="Helvetica"/>
          <w:b w:val="0"/>
          <w:i w:val="0"/>
          <w:color w:val="2B2B2B"/>
          <w:sz w:val="22"/>
        </w:rPr>
        <w:t>Maintaining a healthy gross margin and managing cost of goods sold in line with the category mix that drove FY2025 results.</w:t>
      </w:r>
    </w:p>
    <w:p>
      <w:pPr>
        <w:spacing w:after="120"/>
      </w:pPr>
      <w:r>
        <w:rPr>
          <w:rFonts w:ascii="Helvetica" w:hAnsi="Helvetica"/>
          <w:b w:val="0"/>
          <w:i w:val="0"/>
          <w:color w:val="2B2B2B"/>
          <w:sz w:val="22"/>
        </w:rPr>
        <w:t>Acme Co remains a distributor of industrial and office supplies committed to reliable service for its customers in Toronto, Dubai, and the broader markets it serves.</w:t>
      </w:r>
    </w:p>
    <w:sectPr w:rsidR="00FC693F" w:rsidRPr="0006063C" w:rsidSect="00034616">
      <w:head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097280" cy="109728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097280" cy="10972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w:hAnsi="Helvetica" w:eastAsia="Helvetica"/>
      <w:color w:val="2B2B2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