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13716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371600" cy="1371600"/>
                    </a:xfrm>
                    <a:prstGeom prst="rect"/>
                  </pic:spPr>
                </pic:pic>
              </a:graphicData>
            </a:graphic>
          </wp:inline>
        </w:drawing>
      </w:r>
    </w:p>
    <w:p>
      <w:pPr>
        <w:jc w:val="center"/>
      </w:pPr>
      <w:r>
        <w:rPr>
          <w:b/>
          <w:color w:val="2B2B2B"/>
        </w:rPr>
        <w:t>Acme Co Annual Report FY2025</w:t>
      </w:r>
    </w:p>
    <w:p>
      <w:pPr>
        <w:jc w:val="center"/>
      </w:pPr>
      <w:r>
        <w:rPr>
          <w:color w:val="2B2B2B"/>
        </w:rPr>
        <w:t>Industrial and Office Supply Distribution</w:t>
      </w:r>
    </w:p>
    <w:p/>
    <w:p>
      <w:pPr>
        <w:pStyle w:val="Heading1"/>
        <w:jc w:val="left"/>
      </w:pPr>
      <w:r>
        <w:rPr>
          <w:color w:val="0B3C5D"/>
        </w:rPr>
        <w:t>Letter to shareholders</w:t>
      </w:r>
    </w:p>
    <w:p>
      <w:r>
        <w:rPr>
          <w:color w:val="2B2B2B"/>
        </w:rPr>
        <w:t>Dear Shareholders,</w:t>
      </w:r>
    </w:p>
    <w:p>
      <w:r>
        <w:rPr>
          <w:color w:val="2B2B2B"/>
        </w:rPr>
        <w:t>We are pleased to present Acme Co’s annual report for the fiscal year ended 31 December 2025. The business operates from our head office at 2200 Industrial Parkway, Toronto, ON M9W 0A1, Canada, and from our Gulf office at Office 1408, Harbour Tower, Dubai, United Arab Emirates. Our purpose remains to provide reliable distribution of industrial and office supplies to customers across the regions we serve.</w:t>
      </w:r>
    </w:p>
    <w:p>
      <w:r>
        <w:rPr>
          <w:color w:val="2B2B2B"/>
        </w:rPr>
        <w:t>Throughout FY2025 we focused on disciplined execution, customer service and operational stability. We maintained a consistent approach to procurement, inventory management and delivery performance. Employees across both offices contributed to the results achieved during the year.</w:t>
      </w:r>
    </w:p>
    <w:p>
      <w:r>
        <w:rPr>
          <w:color w:val="2B2B2B"/>
        </w:rPr>
        <w:t>The management team is grateful to our employees, suppliers and partners for their commitment. We recognise the importance of maintaining strong relationships with the customers who rely on us for timely supply. We remain committed to transparency and to the long term interests of shareholders.</w:t>
      </w:r>
    </w:p>
    <w:p>
      <w:r>
        <w:rPr>
          <w:color w:val="2B2B2B"/>
        </w:rPr>
        <w:t>This report sets out the financial review, category performance, customer and geographic performance, risk factors and outlook. We invite you to read the sections that follow for a comprehensive view of the year and for context on the business as it stands at the end of FY2025.</w:t>
      </w:r>
    </w:p>
    <w:p>
      <w:r>
        <w:rPr>
          <w:color w:val="2B2B2B"/>
        </w:rPr>
        <w:t>We appreciate the support of all stakeholders and we will continue to work with diligence in the coming year. The report that follows provides detail on the results, the composition of revenue and the factors that influence performance.</w:t>
      </w:r>
    </w:p>
    <w:p>
      <w:r>
        <w:rPr>
          <w:color w:val="2B2B2B"/>
        </w:rPr>
        <w:t>The letter to shareholders provides an overview of management’s perspective on the year. It is intended to give context to the numbers that follow and to highlight the areas of focus for the business.</w:t>
      </w:r>
    </w:p>
    <w:p>
      <w:r>
        <w:rPr>
          <w:color w:val="2B2B2B"/>
        </w:rPr>
        <w:t>We value the trust placed in us by our customers and partners. Maintaining service quality and reliability is a core priority. We aim to deliver consistent performance across the markets we serve.</w:t>
      </w:r>
    </w:p>
    <w:p>
      <w:r>
        <w:rPr>
          <w:color w:val="2B2B2B"/>
        </w:rPr>
        <w:t>Our head office in Toronto and our Gulf office in Dubai work together to support a coordinated approach to distribution. Coordination between offices supports efficient operations and consistent customer experience.</w:t>
      </w:r>
    </w:p>
    <w:p>
      <w:r>
        <w:rPr>
          <w:color w:val="2B2B2B"/>
        </w:rPr>
        <w:t>We continue to invest in the capabilities that enable reliable fulfillment. The annual report documents the results of those efforts during FY2025.</w:t>
      </w:r>
    </w:p>
    <w:p>
      <w:r>
        <w:rPr>
          <w:color w:val="2B2B2B"/>
        </w:rPr>
        <w:t>This letter is a summary of management’s reflections on the year. It does not contain forward looking statements beyond the outlook section. The information presented here is intended to provide a narrative introduction to the detailed sections that follow.</w:t>
      </w:r>
    </w:p>
    <w:p>
      <w:r>
        <w:rPr>
          <w:color w:val="2B2B2B"/>
        </w:rPr>
        <w:t>We acknowledge the contributions of all individuals who supported the business during the year. Their efforts underpin the results reported herein.</w:t>
      </w:r>
    </w:p>
    <w:p>
      <w:r>
        <w:rPr>
          <w:color w:val="2B2B2B"/>
        </w:rPr>
        <w:t>Sincerely,</w:t>
      </w:r>
    </w:p>
    <w:p>
      <w:r>
        <w:rPr>
          <w:color w:val="2B2B2B"/>
        </w:rPr>
        <w:t>Management of Acme Co</w:t>
      </w:r>
    </w:p>
    <w:p>
      <w:r>
        <w:rPr>
          <w:color w:val="2B2B2B"/>
        </w:rPr>
        <w:t>The annual report is prepared with a focus on clarity and transparency. Readers are encouraged to review the subsequent sections for detailed information on financial performance and operational metrics.</w:t>
      </w:r>
    </w:p>
    <w:p>
      <w:pPr>
        <w:pStyle w:val="Heading1"/>
        <w:jc w:val="left"/>
      </w:pPr>
      <w:r>
        <w:rPr>
          <w:color w:val="0B3C5D"/>
        </w:rPr>
        <w:t>FY2025 financial review</w:t>
      </w:r>
    </w:p>
    <w:p>
      <w:r>
        <w:rPr>
          <w:color w:val="2B2B2B"/>
        </w:rPr>
        <w:t>The fiscal year 2025 results reflect continued activity across our distribution network. Current year revenue was $69.1M, representing $69,146,302.56. Prior year revenue was $64.1M, representing $64,106,153.02. Revenue growth was 7.9 percent year over year.</w:t>
      </w:r>
    </w:p>
    <w:p>
      <w:r>
        <w:rPr>
          <w:color w:val="2B2B2B"/>
        </w:rPr>
        <w:t>Cost of goods sold in FY2025 was $48.4M. Gross profit was $20.7M. Gross margin was 30.0 percent. Prior year gross margin was 30.4 percent. Gross profit growth was 6.4 percent. The change in gross margin reflects the mix of sales and cost conditions during the year.</w:t>
      </w:r>
    </w:p>
    <w:p>
      <w:r>
        <w:rPr>
          <w:color w:val="2B2B2B"/>
        </w:rPr>
        <w:t>Orders in FY2025 were 6,358. Orders in the prior year were 6,071. Order growth was 4.7 percent. The order count provides a view of transactional activity alongside revenue.</w:t>
      </w:r>
    </w:p>
    <w:p>
      <w:r>
        <w:rPr>
          <w:color w:val="2B2B2B"/>
        </w:rPr>
        <w:t>Monthly revenue and gross profit varied through the year. In January 2025 revenue was $5,660,798.91 with gross profit $1,697,658.28. In February 2025 revenue was $4,408,264.69 with gross profit $1,419,464.55. In March 2025 revenue was $5,234,287.17 with gross profit $1,596,816.46.</w:t>
      </w:r>
    </w:p>
    <w:p>
      <w:r>
        <w:rPr>
          <w:color w:val="2B2B2B"/>
        </w:rPr>
        <w:t>In April 2025 revenue was $6,857,863.42 with gross profit $2,045,858.38. In May 2025 revenue was $4,558,071.52 with gross profit $1,472,577.61. In June 2025 revenue was $4,767,230.19 with gross profit $1,520,809.66.</w:t>
      </w:r>
    </w:p>
    <w:p>
      <w:r>
        <w:rPr>
          <w:color w:val="2B2B2B"/>
        </w:rPr>
        <w:t>In July 2025 revenue was $4,717,309.03 with gross profit $1,392,763.83. In August 2025 revenue was $3,693,598.05 with gross profit $1,119,088.46. In September 2025 revenue was $6,576,280.41 with gross profit $1,916,811.12.</w:t>
      </w:r>
    </w:p>
    <w:p>
      <w:r>
        <w:rPr>
          <w:color w:val="2B2B2B"/>
        </w:rPr>
        <w:t>In October 2025 revenue was $7,979,546.15 with gross profit $2,379,098.88. In November 2025 revenue was $6,710,974.81 with gross profit $1,945,670.78. In December 2025 revenue was $7,982,078.21 with gross profit $2,226,533.72.</w:t>
      </w:r>
    </w:p>
    <w:p>
      <w:r>
        <w:rPr>
          <w:color w:val="2B2B2B"/>
        </w:rPr>
        <w:t>The monthly pattern reflects seasonal demand and supply chain timing. The financial review summarises the key year over year metrics for reference and provides context for the performance of the business in FY2025.</w:t>
      </w:r>
    </w:p>
    <w:p>
      <w:r>
        <w:rPr>
          <w:color w:val="2B2B2B"/>
        </w:rPr>
        <w:t>Revenue growth of 7.9 percent year over year was achieved with 4.7 percent growth in orders. The relationship between revenue and orders reflects average transaction size movements during the year.</w:t>
      </w:r>
    </w:p>
    <w:p>
      <w:r>
        <w:rPr>
          <w:color w:val="2B2B2B"/>
        </w:rPr>
        <w:t>Gross profit of $20.7M on revenue of $69.1M gives a gross margin of 30.0 percent. Prior year gross margin was 30.4 percent. Management monitors margin trends as part of ongoing financial oversight.</w:t>
      </w:r>
    </w:p>
    <w:p>
      <w:r>
        <w:rPr>
          <w:color w:val="2B2B2B"/>
        </w:rPr>
        <w:t>The financial review section is intended to provide a clear summary of the numbers that define FY2025. It references current year revenue, prior year revenue, revenue growth, gross profit, gross margin and prior year gross margin as required.</w:t>
      </w:r>
    </w:p>
    <w:p>
      <w:r>
        <w:rPr>
          <w:color w:val="2B2B2B"/>
        </w:rPr>
        <w:t>The figures presented are drawn from the fact sheet and are not supplemented with additional metrics. The purpose is to provide transparency to shareholders and stakeholders.</w:t>
      </w:r>
    </w:p>
    <w:p>
      <w:r>
        <w:rPr>
          <w:color w:val="2B2B2B"/>
        </w:rPr>
        <w:t>Cost of goods sold is reported as $48.4M for FY2025. Gross profit is reported as $20.7M. These figures together define the gross margin of 30.0 percent.</w:t>
      </w:r>
    </w:p>
    <w:p>
      <w:r>
        <w:rPr>
          <w:color w:val="2B2B2B"/>
        </w:rPr>
        <w:t>The prior year comparison shows revenue of $64.1M and gross margin of 30.4 percent. The year over year change is consistent with the disclosed growth rates.</w:t>
      </w:r>
    </w:p>
    <w:p>
      <w:r>
        <w:rPr>
          <w:color w:val="2B2B2B"/>
        </w:rPr>
        <w:t>Monthly data is provided for completeness and to illustrate the distribution of activity across the year. It confirms the annual totals when aggregated.</w:t>
      </w:r>
    </w:p>
    <w:p>
      <w:r>
        <w:rPr>
          <w:color w:val="2B2B2B"/>
        </w:rPr>
        <w:t>Financial performance is assessed in the context of market conditions and operational execution. The financial review provides the quantitative basis for the narrative that follows.</w:t>
      </w:r>
    </w:p>
    <w:p>
      <w:r>
        <w:rPr>
          <w:color w:val="2B2B2B"/>
        </w:rPr>
        <w:t>Management continues to review financial metrics regularly to ensure alignment with strategic objectives. The review process supports informed decision making.</w:t>
      </w:r>
    </w:p>
    <w:p>
      <w:r>
        <w:rPr>
          <w:color w:val="2B2B2B"/>
        </w:rPr>
        <w:t>The financial review is presented in a manner intended to be accessible to readers without specialist training. Definitions and context are provided where necessary.</w:t>
      </w:r>
    </w:p>
    <w:p>
      <w:pPr>
        <w:pStyle w:val="Heading1"/>
        <w:jc w:val="left"/>
      </w:pPr>
      <w:r>
        <w:rPr>
          <w:color w:val="0B3C5D"/>
        </w:rPr>
        <w:t>Category performance</w:t>
      </w:r>
    </w:p>
    <w:p>
      <w:r>
        <w:rPr>
          <w:color w:val="2B2B2B"/>
        </w:rPr>
        <w:t>Revenue by category in FY2025 shows the composition of the business. Material Handling generated $38,734,228.05, representing 56.0 percent of revenue. Electrical generated $12,203,595.88, representing 17.6 percent of revenue.</w:t>
      </w:r>
    </w:p>
    <w:p>
      <w:r>
        <w:rPr>
          <w:color w:val="2B2B2B"/>
        </w:rPr>
        <w:t>Packaging generated $4,425,870.55, representing 6.4 percent of revenue. Tools generated $3,755,547.27, representing 5.4 percent of revenue. Safety &amp; PPE generated $2,914,085.72, representing 4.2 percent of revenue.</w:t>
      </w:r>
    </w:p>
    <w:p>
      <w:r>
        <w:rPr>
          <w:color w:val="2B2B2B"/>
        </w:rPr>
        <w:t>Janitorial generated $2,541,723.64, representing 3.7 percent of revenue. Office Supplies generated $1,512,964.36, representing 2.2 percent of revenue. Abrasives generated $1,309,985.75, representing 1.9 percent of revenue.</w:t>
      </w:r>
    </w:p>
    <w:p>
      <w:r>
        <w:rPr>
          <w:color w:val="2B2B2B"/>
        </w:rPr>
        <w:t>Fasteners generated $1,147,869.20, representing 1.7 percent of revenue. Adhesives generated $600,432.14, representing 0.9 percent of revenue.</w:t>
      </w:r>
    </w:p>
    <w:p>
      <w:r>
        <w:rPr>
          <w:color w:val="2B2B2B"/>
        </w:rPr>
        <w:t>The largest category is Material Handling at 56.0 percent of revenue. This concentration reflects customer demand for material handling solutions across industrial clients. Electrical is the second largest category at 17.6 percent of revenue.</w:t>
      </w:r>
    </w:p>
    <w:p>
      <w:r>
        <w:rPr>
          <w:color w:val="2B2B2B"/>
        </w:rPr>
        <w:t>The remaining categories together account for the balance of revenue. Category mix is reviewed regularly to understand demand patterns and to inform inventory planning. The distribution of revenue across categories provides insight into the core areas of the business.</w:t>
      </w:r>
    </w:p>
    <w:p>
      <w:r>
        <w:rPr>
          <w:color w:val="2B2B2B"/>
        </w:rPr>
        <w:t>Material Handling at 56.0 percent of revenue is the primary driver of revenue. Electrical at 17.6 percent provides a significant secondary contribution. Packaging, Tools and Safety &amp; PPE contribute further to the overall mix.</w:t>
      </w:r>
    </w:p>
    <w:p>
      <w:r>
        <w:rPr>
          <w:color w:val="2B2B2B"/>
        </w:rPr>
        <w:t>Smaller categories such as Janitorial, Office Supplies, Abrasives, Fasteners and Adhesives represent niche but stable parts of the portfolio. Together they diversify the revenue base beyond the two largest categories.</w:t>
      </w:r>
    </w:p>
    <w:p>
      <w:r>
        <w:rPr>
          <w:color w:val="2B2B2B"/>
        </w:rPr>
        <w:t>Category performance is monitored against prior periods to identify shifts in demand. The FY2025 mix reflects the current customer needs in industrial and office supply distribution.</w:t>
      </w:r>
    </w:p>
    <w:p>
      <w:r>
        <w:rPr>
          <w:color w:val="2B2B2B"/>
        </w:rPr>
        <w:t>Understanding category share is important for strategic planning. Material Handling dominance shapes procurement and logistics priorities. Electrical demand supports a broad customer base.</w:t>
      </w:r>
    </w:p>
    <w:p>
      <w:r>
        <w:rPr>
          <w:color w:val="2B2B2B"/>
        </w:rPr>
        <w:t>Packaging at 6.4 percent and Tools at 5.4 percent provide meaningful contributions. Safety &amp; PPE at 4.2 percent reflects ongoing customer requirements for workplace safety.</w:t>
      </w:r>
    </w:p>
    <w:p>
      <w:r>
        <w:rPr>
          <w:color w:val="2B2B2B"/>
        </w:rPr>
        <w:t>The category section names the largest category and its share of revenue as required. Material Handling is the largest category at 56.0 percent of revenue.</w:t>
      </w:r>
    </w:p>
    <w:p>
      <w:r>
        <w:rPr>
          <w:color w:val="2B2B2B"/>
        </w:rPr>
        <w:t>Category analysis supports management in resource allocation. Knowledge of category performance enables focused investment in areas of strength.</w:t>
      </w:r>
    </w:p>
    <w:p>
      <w:r>
        <w:rPr>
          <w:color w:val="2B2B2B"/>
        </w:rPr>
        <w:t>The mix of categories reflects the diverse needs of industrial and office customers. Material Handling and Electrical together represent a substantial portion of the business.</w:t>
      </w:r>
    </w:p>
    <w:p>
      <w:r>
        <w:rPr>
          <w:color w:val="2B2B2B"/>
        </w:rPr>
        <w:t>Smaller categories contribute to overall resilience. Even modest shares can be important for certain customer segments.</w:t>
      </w:r>
    </w:p>
    <w:p>
      <w:r>
        <w:rPr>
          <w:color w:val="2B2B2B"/>
        </w:rPr>
        <w:t>Regular review of category performance helps identify emerging trends. Management uses this information to guide planning and to communicate with stakeholders.</w:t>
      </w:r>
    </w:p>
    <w:p>
      <w:pPr>
        <w:pStyle w:val="Heading1"/>
        <w:jc w:val="left"/>
      </w:pPr>
      <w:r>
        <w:rPr>
          <w:color w:val="0B3C5D"/>
        </w:rPr>
        <w:t>Customer and geographic performance</w:t>
      </w:r>
    </w:p>
    <w:p>
      <w:r>
        <w:rPr>
          <w:color w:val="2B2B2B"/>
        </w:rPr>
        <w:t>Customer concentration is monitored as part of risk management. The top 20 customers together accounted for 13.65 percent of revenue in FY2025.</w:t>
      </w:r>
    </w:p>
    <w:p>
      <w:r>
        <w:rPr>
          <w:color w:val="2B2B2B"/>
        </w:rPr>
        <w:t>The top 20 customers by revenue were: 1. C0848 Foxglove Stores LLC — $926,855.96, 1.34 percent of revenue; 2. C0029 Pearl Developments Ltd. — $749,644.27, 1.08 percent of revenue; 3. C0636 Granite Fabrication Ltd. — $704,339.72, 1.02 percent of revenue; 4. C1180 Montcalm Entreposage inc. — $656,874.93, 0.95 percent of revenue; 5. C1186 Falcon Retail Group LLC — $543,431.33, 0.79 percent of revenue.</w:t>
      </w:r>
    </w:p>
    <w:p>
      <w:r>
        <w:rPr>
          <w:color w:val="2B2B2B"/>
        </w:rPr>
        <w:t>6. C0883 Érable Fleuve Entreposage Inc. — $536,141.25, 0.78 percent of revenue; 7. C0198 Saint-Laurent Académie ltée — $504,668.70, 0.73 percent of revenue; 8. C1985 Al Waha Property Management LLC — $496,286.01, 0.72 percent of revenue; 9. C0466 Driftwood Distribution Ltd. — $461,242.64, 0.67 percent of revenue; 10. C0717 Meridian Cedar Developments Ltd. — $433,604.37, 0.63 percent of revenue.</w:t>
      </w:r>
    </w:p>
    <w:p>
      <w:r>
        <w:rPr>
          <w:color w:val="2B2B2B"/>
        </w:rPr>
        <w:t>11. C0402 Atlas Manufacturing Ltd. — $395,327.98, 0.57 percent of revenue; 12. C0704 Meridian Industries Corp. — $368,485.48, 0.53 percent of revenue; 13. C1683 Westbrook Logistics LLC — $354,785.74, 0.51 percent of revenue; 14. C0019 Fleuve Santé ltée — $344,984.56, 0.50 percent of revenue; 15. C1156 Érable Mauricie Collège Inc. — $339,754.87, 0.49 percent of revenue.</w:t>
      </w:r>
    </w:p>
    <w:p>
      <w:r>
        <w:rPr>
          <w:color w:val="2B2B2B"/>
        </w:rPr>
        <w:t>16. C1190 Fleuve Beauport Logistique inc. — $332,883.86, 0.48 percent of revenue; 17. C1622 Bluewater Distribution Ltd. — $331,884.60, 0.48 percent of revenue; 18. C0685 Nimbus Distribution Corp. — $322,878.48, 0.47 percent of revenue; 19. C0092 Evergreen Trading Ltd. — $319,419.44, 0.46 percent of revenue; 20. C0419 Stonebridge Freight Ltd. — $314,446.85, 0.45 percent of revenue.</w:t>
      </w:r>
    </w:p>
    <w:p>
      <w:r>
        <w:rPr>
          <w:color w:val="2B2B2B"/>
        </w:rPr>
        <w:t>The top 20 customers together represent 13.65 percent of revenue. No single customer dominates the revenue base. The distribution across many customers provides diversification, although concentration risk remains relevant.</w:t>
      </w:r>
    </w:p>
    <w:p>
      <w:r>
        <w:rPr>
          <w:color w:val="2B2B2B"/>
        </w:rPr>
        <w:t>Geographic revenue mix in FY2025 was as follows: CA $48,209,042.23, 69.7 percent of revenue, 4,474 orders; AE $11,726,342.95, 17.0 percent of revenue, 1,069 orders; SA $3,961,855.28, 5.7 percent of revenue, 401 orders.</w:t>
      </w:r>
    </w:p>
    <w:p>
      <w:r>
        <w:rPr>
          <w:color w:val="2B2B2B"/>
        </w:rPr>
        <w:t>US $2,491,954.15, 3.6 percent of revenue, 178 orders; QA $1,504,454.07, 2.2 percent of revenue, 114 orders; OM $1,252,653.88, 1.8 percent of revenue, 122 orders.</w:t>
      </w:r>
    </w:p>
    <w:p>
      <w:r>
        <w:rPr>
          <w:color w:val="2B2B2B"/>
        </w:rPr>
        <w:t>Canada remains the largest geographic market, with the United Arab Emirates representing the second largest market. The geographic spread provides diversification, while Canada accounts for the majority of revenue and orders.</w:t>
      </w:r>
    </w:p>
    <w:p>
      <w:r>
        <w:rPr>
          <w:color w:val="2B2B2B"/>
        </w:rPr>
        <w:t>Geographic performance is assessed alongside customer performance to understand where demand originates and to support planning for inventory and service levels. The distribution across countries reflects the footprint of Acme Co operations.</w:t>
      </w:r>
    </w:p>
    <w:p>
      <w:r>
        <w:rPr>
          <w:color w:val="2B2B2B"/>
        </w:rPr>
        <w:t>The customer section states the top 20 customer share of revenue as required. The figure is 13.65 percent of revenue.</w:t>
      </w:r>
    </w:p>
    <w:p>
      <w:r>
        <w:rPr>
          <w:color w:val="2B2B2B"/>
        </w:rPr>
        <w:t>Customer and geographic performance together provide a view of market exposure. The data supports management’s understanding of where revenue is generated and which customers contribute most.</w:t>
      </w:r>
    </w:p>
    <w:p>
      <w:r>
        <w:rPr>
          <w:color w:val="2B2B2B"/>
        </w:rPr>
        <w:t>The top 20 list shows the specific customers and their respective shares. The shares are modest individually and collectively, indicating a diversified customer base.</w:t>
      </w:r>
    </w:p>
    <w:p>
      <w:r>
        <w:rPr>
          <w:color w:val="2B2B2B"/>
        </w:rPr>
        <w:t>Geographic data shows orders and revenue by country. The order counts complement the revenue shares and provide operational context.</w:t>
      </w:r>
    </w:p>
    <w:p>
      <w:r>
        <w:rPr>
          <w:color w:val="2B2B2B"/>
        </w:rPr>
        <w:t>Management reviews customer and geographic data regularly to identify opportunities and to manage risks. The information supports strategic decision making.</w:t>
      </w:r>
    </w:p>
    <w:p>
      <w:r>
        <w:rPr>
          <w:color w:val="2B2B2B"/>
        </w:rPr>
        <w:t>Customer relationships are managed with a focus on service quality and reliability. Geographic coverage supports the ability to serve customers across multiple markets.</w:t>
      </w:r>
    </w:p>
    <w:p>
      <w:r>
        <w:rPr>
          <w:color w:val="2B2B2B"/>
        </w:rPr>
        <w:t>The combination of customer and geographic analysis provides a comprehensive view of revenue sources. This view is essential for planning and for stakeholder communication.</w:t>
      </w:r>
    </w:p>
    <w:p>
      <w:pPr>
        <w:pStyle w:val="Heading1"/>
        <w:jc w:val="left"/>
      </w:pPr>
      <w:r>
        <w:rPr>
          <w:color w:val="0B3C5D"/>
        </w:rPr>
        <w:t>Risk factors</w:t>
      </w:r>
    </w:p>
    <w:p>
      <w:r>
        <w:rPr>
          <w:color w:val="2B2B2B"/>
        </w:rPr>
        <w:t>Investors should consider the concentration risks disclosed in this report. The largest category is Material Handling at 56.0 percent of revenue. This category concentration represents a risk if demand for material handling products changes.</w:t>
      </w:r>
    </w:p>
    <w:p>
      <w:r>
        <w:rPr>
          <w:color w:val="2B2B2B"/>
        </w:rPr>
        <w:t>Top 20 customers together represent 13.65 percent of revenue. While no single customer dominates, the reliance on a relatively small group of customers creates concentration risk. Loss of one or more top customers could impact revenue.</w:t>
      </w:r>
    </w:p>
    <w:p>
      <w:r>
        <w:rPr>
          <w:color w:val="2B2B2B"/>
        </w:rPr>
        <w:t>Material Handling concentration and top 20 customer concentration are the two risks an investor facing document must state plainly. These concentrations are disclosed to provide transparency.</w:t>
      </w:r>
    </w:p>
    <w:p>
      <w:r>
        <w:rPr>
          <w:color w:val="2B2B2B"/>
        </w:rPr>
        <w:t>Geographic concentration also exists. Canada accounts for 69.7 percent of revenue, and the United Arab Emirates accounts for 17.0 percent of revenue. Changes in economic conditions, regulatory environment or logistics in these markets could affect performance.</w:t>
      </w:r>
    </w:p>
    <w:p>
      <w:r>
        <w:rPr>
          <w:color w:val="2B2B2B"/>
        </w:rPr>
        <w:t>Supply chain disruptions, cost inflation and changes in customer purchasing patterns may affect gross margin. Gross margin in FY2025 was 30.0 percent compared with 30.4 percent in the prior year. Management monitors these factors closely.</w:t>
      </w:r>
    </w:p>
    <w:p>
      <w:r>
        <w:rPr>
          <w:color w:val="2B2B2B"/>
        </w:rPr>
        <w:t>The business is exposed to fluctuations in demand for industrial supplies. Category concentration in Material Handling amplifies this exposure. Customer concentration, although modest at 13.65 percent for the top 20, still represents a meaningful portion of revenue.</w:t>
      </w:r>
    </w:p>
    <w:p>
      <w:r>
        <w:rPr>
          <w:color w:val="2B2B2B"/>
        </w:rPr>
        <w:t>Risk management includes monitoring category mix, customer relationships and geographic exposure. The company seeks to balance growth with prudent management of concentrations.</w:t>
      </w:r>
    </w:p>
    <w:p>
      <w:r>
        <w:rPr>
          <w:color w:val="2B2B2B"/>
        </w:rPr>
        <w:t>The risk factors section states concentration risks plainly as required. Material Handling at 56.0 percent of revenue and top 20 customers at 13.65 percent of revenue are the key concentrations.</w:t>
      </w:r>
    </w:p>
    <w:p>
      <w:r>
        <w:rPr>
          <w:color w:val="2B2B2B"/>
        </w:rPr>
        <w:t>Investors are encouraged to review these risks alongside the financial review and category performance. Understanding concentration helps inform assessment of stability and growth potential.</w:t>
      </w:r>
    </w:p>
    <w:p>
      <w:r>
        <w:rPr>
          <w:color w:val="2B2B2B"/>
        </w:rPr>
        <w:t>The company continues to review risk exposures and to maintain appropriate oversight of the factors that could impact performance.</w:t>
      </w:r>
    </w:p>
    <w:p>
      <w:r>
        <w:rPr>
          <w:color w:val="2B2B2B"/>
        </w:rPr>
        <w:t>Risk disclosure is intended to provide transparency. Management regularly assesses the risk landscape and updates stakeholders as appropriate.</w:t>
      </w:r>
    </w:p>
    <w:p>
      <w:r>
        <w:rPr>
          <w:color w:val="2B2B2B"/>
        </w:rPr>
        <w:t>Concentration risks are inherent in distribution businesses. Management works to mitigate these risks through diversification and through strong customer relationships.</w:t>
      </w:r>
    </w:p>
    <w:p>
      <w:r>
        <w:rPr>
          <w:color w:val="2B2B2B"/>
        </w:rPr>
        <w:t>The risk factors disclosed herein are based on FY2025 data. Future periods may present different risk profiles as the business evolves.</w:t>
      </w:r>
    </w:p>
    <w:p>
      <w:r>
        <w:rPr>
          <w:color w:val="2B2B2B"/>
        </w:rPr>
        <w:t>Management maintains a risk register and monitors key indicators. This process supports proactive management of emerging risks.</w:t>
      </w:r>
    </w:p>
    <w:p>
      <w:pPr>
        <w:pStyle w:val="Heading1"/>
        <w:jc w:val="left"/>
      </w:pPr>
      <w:r>
        <w:rPr>
          <w:color w:val="0B3C5D"/>
        </w:rPr>
        <w:t>Outlook for FY2026</w:t>
      </w:r>
    </w:p>
    <w:p>
      <w:r>
        <w:rPr>
          <w:color w:val="2B2B2B"/>
        </w:rPr>
        <w:t>The outlook for FY2026 is considered in the context of the FY2025 results and market conditions. Management will continue to focus on operational efficiency, customer service and disciplined cost management.</w:t>
      </w:r>
    </w:p>
    <w:p>
      <w:r>
        <w:rPr>
          <w:color w:val="2B2B2B"/>
        </w:rPr>
        <w:t>We will continue to monitor category mix, customer concentration and geographic exposure. Sustaining the relationship with key customers remains a priority, alongside prudent management of the Material Handling category.</w:t>
      </w:r>
    </w:p>
    <w:p>
      <w:r>
        <w:rPr>
          <w:color w:val="2B2B2B"/>
        </w:rPr>
        <w:t>The company will assess opportunities to support customers in Canada and the United Arab Emirates, and to maintain service levels across other markets. We will continue to provide timely distribution of industrial and office supplies.</w:t>
      </w:r>
    </w:p>
    <w:p>
      <w:r>
        <w:rPr>
          <w:color w:val="2B2B2B"/>
        </w:rPr>
        <w:t>The outlook is informed by the FY2025 financial review, which shows revenue of $69.1M, gross profit of $20.7M and gross margin of 30.0 percent. Prior year revenue was $64.1M with gross margin of 30.4 percent.</w:t>
      </w:r>
    </w:p>
    <w:p>
      <w:r>
        <w:rPr>
          <w:color w:val="2B2B2B"/>
        </w:rPr>
        <w:t>Category performance shows Material Handling at 56.0 percent of revenue and Electrical at 17.6 percent of revenue. These categories will continue to be important to the business.</w:t>
      </w:r>
    </w:p>
    <w:p>
      <w:r>
        <w:rPr>
          <w:color w:val="2B2B2B"/>
        </w:rPr>
        <w:t>Customer performance shows top 20 customers at 13.65 percent of revenue. Geographic performance shows Canada at 69.7 percent of revenue and AE at 17.0 percent of revenue.</w:t>
      </w:r>
    </w:p>
    <w:p>
      <w:r>
        <w:rPr>
          <w:color w:val="2B2B2B"/>
        </w:rPr>
        <w:t>Risk factors remain relevant, including Material Handling concentration and top 20 customer concentration. Management will continue to review these risks as part of strategic planning.</w:t>
      </w:r>
    </w:p>
    <w:p>
      <w:r>
        <w:rPr>
          <w:color w:val="2B2B2B"/>
        </w:rPr>
        <w:t>This annual report is prepared for informational purposes and does not constitute a forecast of future financial performance. Investors are encouraged to review the financial review and risk factors sections for context.</w:t>
      </w:r>
    </w:p>
    <w:p>
      <w:r>
        <w:rPr>
          <w:color w:val="2B2B2B"/>
        </w:rPr>
        <w:t>We remain committed to transparency and to providing regular updates on performance. The information in this report reflects the FY2025 results as disclosed.</w:t>
      </w:r>
    </w:p>
    <w:p>
      <w:r>
        <w:rPr>
          <w:color w:val="2B2B2B"/>
        </w:rPr>
        <w:t>The outlook section summarizes the key themes from the preceding sections. It references financial results, category mix, customer and geographic performance and risk factors.</w:t>
      </w:r>
    </w:p>
    <w:p>
      <w:r>
        <w:rPr>
          <w:color w:val="2B2B2B"/>
        </w:rPr>
        <w:t>Management will continue to evaluate opportunities to support customers across the markets served. The focus remains on reliable distribution and disciplined execution.</w:t>
      </w:r>
    </w:p>
    <w:p>
      <w:r>
        <w:rPr>
          <w:color w:val="2B2B2B"/>
        </w:rPr>
        <w:t>The company values ongoing engagement with shareholders and stakeholders. The annual report provides a comprehensive view of FY2025 and sets the context for future discussion.</w:t>
      </w:r>
    </w:p>
    <w:p>
      <w:r>
        <w:rPr>
          <w:color w:val="2B2B2B"/>
        </w:rPr>
        <w:t>Operational priorities for the coming year include maintaining service levels, managing costs and monitoring market conditions. These priorities support the long term objectives of the business.</w:t>
      </w:r>
    </w:p>
    <w:p>
      <w:r>
        <w:rPr>
          <w:color w:val="2B2B2B"/>
        </w:rPr>
        <w:t>The outlook is based on current information and is subject to change. Management will provide updates as circumstances evolve.</w:t>
      </w:r>
    </w:p>
    <w:p>
      <w:r>
        <w:rPr>
          <w:color w:val="2B2B2B"/>
        </w:rPr>
        <w:t>The annual report is intended to provide a balanced view of performance and risks. Readers are encouraged to consider the full document when forming opinions about the business.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