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371600" cy="1371600"/>
            <wp:docPr id="1" name="Picture 1"/>
            <wp:cNvGraphicFramePr>
              <a:graphicFrameLocks noChangeAspect="1"/>
            </wp:cNvGraphicFramePr>
            <a:graphic>
              <a:graphicData uri="http://schemas.openxmlformats.org/drawingml/2006/picture">
                <pic:pic>
                  <pic:nvPicPr>
                    <pic:cNvPr id="0" name="logo.png"/>
                    <pic:cNvPicPr/>
                  </pic:nvPicPr>
                  <pic:blipFill>
                    <a:blip r:embed="rId9"/>
                    <a:stretch>
                      <a:fillRect/>
                    </a:stretch>
                  </pic:blipFill>
                  <pic:spPr>
                    <a:xfrm>
                      <a:off x="0" y="0"/>
                      <a:ext cx="1371600" cy="1371600"/>
                    </a:xfrm>
                    <a:prstGeom prst="rect"/>
                  </pic:spPr>
                </pic:pic>
              </a:graphicData>
            </a:graphic>
          </wp:inline>
        </w:drawing>
      </w:r>
    </w:p>
    <w:p>
      <w:pPr>
        <w:pStyle w:val="Title"/>
      </w:pPr>
      <w:r>
        <w:t>Annual Report 2025</w:t>
      </w:r>
    </w:p>
    <w:p/>
    <w:p>
      <w:pPr>
        <w:pStyle w:val="Heading1"/>
      </w:pPr>
      <w:r>
        <w:t>Letter to shareholders</w:t>
      </w:r>
    </w:p>
    <w:p>
      <w:r>
        <w:rPr>
          <w:color w:val="2B2B2B"/>
        </w:rPr>
        <w:t>Dear Shareholders,</w:t>
        <w:br/>
        <w:br/>
        <w:t>I am pleased to present Acme Co's annual report for fiscal year 2025, a year marked by steady growth and strategic progress in our mission as an industrial and office supply distributor. With operations spanning our head office in Toronto and our Gulf office in Dubai, we have continued to serve customers across six countries and all four regions of Canada.</w:t>
        <w:br/>
        <w:br/>
        <w:t>This year's revenue of $69.1M represents a 7.9% year-over-year increase, demonstrating the resilience and adaptability of our business model. Our gross profit grew to $20.7M, supported by operational efficiencies and continued focus on customer service excellence.</w:t>
        <w:br/>
        <w:br/>
        <w:t>We expanded our product portfolio through our core categories while deepening relationships with key customers. The team remains committed to delivering value to our stakeholders as we look toward sustainable growth in FY2026.</w:t>
        <w:br/>
        <w:br/>
        <w:t>Sincerely,</w:t>
        <w:br/>
        <w:br/>
        <w:t>The Acme Co Leadership Team</w:t>
      </w:r>
    </w:p>
    <w:p>
      <w:r>
        <w:rPr>
          <w:color w:val="2B2B2B"/>
        </w:rPr>
        <w:t>Our business has shown remarkable stability in the face of evolving market conditions. Throughout 2025, we maintained our position as a trusted partner to businesses across North America, the Middle East, and Africa. The dedication of our teams in both Toronto and Dubai has been instrumental in sustaining our operations and continuing to meet the diverse needs of our customer base.</w:t>
      </w:r>
    </w:p>
    <w:p>
      <w:r>
        <w:rPr>
          <w:color w:val="2B2B2B"/>
        </w:rPr>
        <w:t>The industrial supply market continues to evolve, driven by technological advances and changing customer expectations. We have embraced these changes through strategic investments in our operations and by strengthening our partnerships with both suppliers and customers.</w:t>
      </w:r>
    </w:p>
    <w:p>
      <w:r>
        <w:rPr>
          <w:color w:val="2B2B2B"/>
        </w:rPr>
        <w:t>I want to personally thank all of you for your continued confidence in Acme Co. Your support enables us to invest in the infrastructure and talent necessary to serve you better in the future.</w:t>
      </w:r>
    </w:p>
    <w:p>
      <w:r>
        <w:rPr>
          <w:color w:val="2B2B2B"/>
        </w:rPr>
        <w:t>Looking ahead, we remain focused on our core values of quality, reliability, and customer satisfaction while pursuing opportunities for sustainable growth across all our markets.</w:t>
      </w:r>
    </w:p>
    <w:p>
      <w:r>
        <w:rPr>
          <w:color w:val="2B2B2B"/>
        </w:rPr>
        <w:t>The Acme Co Leadership Team</w:t>
      </w:r>
    </w:p>
    <w:p>
      <w:pPr>
        <w:pStyle w:val="Heading1"/>
      </w:pPr>
      <w:r>
        <w:t>FY2025 financial review</w:t>
      </w:r>
    </w:p>
    <w:p>
      <w:r>
        <w:t>Financial Highlights for FY2025:</w:t>
        <w:br/>
        <w:br/>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rFonts w:ascii="Helvetica" w:hAnsi="Helvetica"/>
                <w:b/>
                <w:color w:val="2B2B2B"/>
                <w:sz w:val="20"/>
              </w:rPr>
              <w:t>Metric</w:t>
            </w:r>
          </w:p>
        </w:tc>
        <w:tc>
          <w:tcPr>
            <w:tcW w:type="dxa" w:w="2160"/>
          </w:tcPr>
          <w:p>
            <w:r>
              <w:rPr>
                <w:rFonts w:ascii="Helvetica" w:hAnsi="Helvetica"/>
                <w:b/>
                <w:color w:val="2B2B2B"/>
                <w:sz w:val="20"/>
              </w:rPr>
              <w:t>FY2025</w:t>
            </w:r>
          </w:p>
        </w:tc>
        <w:tc>
          <w:tcPr>
            <w:tcW w:type="dxa" w:w="2160"/>
          </w:tcPr>
          <w:p>
            <w:r>
              <w:rPr>
                <w:rFonts w:ascii="Helvetica" w:hAnsi="Helvetica"/>
                <w:b/>
                <w:color w:val="2B2B2B"/>
                <w:sz w:val="20"/>
              </w:rPr>
              <w:t>FY2024</w:t>
            </w:r>
          </w:p>
        </w:tc>
        <w:tc>
          <w:tcPr>
            <w:tcW w:type="dxa" w:w="2160"/>
          </w:tcPr>
          <w:p>
            <w:r>
              <w:rPr>
                <w:rFonts w:ascii="Helvetica" w:hAnsi="Helvetica"/>
                <w:b/>
                <w:color w:val="2B2B2B"/>
                <w:sz w:val="20"/>
              </w:rPr>
              <w:t>Change</w:t>
            </w:r>
          </w:p>
        </w:tc>
      </w:tr>
      <w:tr>
        <w:tc>
          <w:tcPr>
            <w:tcW w:type="dxa" w:w="2160"/>
          </w:tcPr>
          <w:p>
            <w:r>
              <w:rPr>
                <w:rFonts w:ascii="Helvetica" w:hAnsi="Helvetica"/>
                <w:color w:val="2B2B2B"/>
                <w:sz w:val="20"/>
              </w:rPr>
              <w:t>Revenue</w:t>
            </w:r>
          </w:p>
        </w:tc>
        <w:tc>
          <w:tcPr>
            <w:tcW w:type="dxa" w:w="2160"/>
          </w:tcPr>
          <w:p>
            <w:r>
              <w:rPr>
                <w:rFonts w:ascii="Helvetica" w:hAnsi="Helvetica"/>
                <w:color w:val="2B2B2B"/>
                <w:sz w:val="20"/>
              </w:rPr>
              <w:t>$69.1M</w:t>
            </w:r>
          </w:p>
        </w:tc>
        <w:tc>
          <w:tcPr>
            <w:tcW w:type="dxa" w:w="2160"/>
          </w:tcPr>
          <w:p>
            <w:r>
              <w:rPr>
                <w:rFonts w:ascii="Helvetica" w:hAnsi="Helvetica"/>
                <w:color w:val="2B2B2B"/>
                <w:sz w:val="20"/>
              </w:rPr>
              <w:t>$64.1M</w:t>
            </w:r>
          </w:p>
        </w:tc>
        <w:tc>
          <w:tcPr>
            <w:tcW w:type="dxa" w:w="2160"/>
          </w:tcPr>
          <w:p>
            <w:r>
              <w:rPr>
                <w:rFonts w:ascii="Helvetica" w:hAnsi="Helvetica"/>
                <w:color w:val="2B2B2B"/>
                <w:sz w:val="20"/>
              </w:rPr>
              <w:t>+7.9%</w:t>
            </w:r>
          </w:p>
        </w:tc>
      </w:tr>
      <w:tr>
        <w:tc>
          <w:tcPr>
            <w:tcW w:type="dxa" w:w="2160"/>
          </w:tcPr>
          <w:p>
            <w:r>
              <w:rPr>
                <w:rFonts w:ascii="Helvetica" w:hAnsi="Helvetica"/>
                <w:color w:val="2B2B2B"/>
                <w:sz w:val="20"/>
              </w:rPr>
              <w:t>Gross Profit</w:t>
            </w:r>
          </w:p>
        </w:tc>
        <w:tc>
          <w:tcPr>
            <w:tcW w:type="dxa" w:w="2160"/>
          </w:tcPr>
          <w:p>
            <w:r>
              <w:rPr>
                <w:rFonts w:ascii="Helvetica" w:hAnsi="Helvetica"/>
                <w:color w:val="2B2B2B"/>
                <w:sz w:val="20"/>
              </w:rPr>
              <w:t>$20.7M</w:t>
            </w:r>
          </w:p>
        </w:tc>
        <w:tc>
          <w:tcPr>
            <w:tcW w:type="dxa" w:w="2160"/>
          </w:tcPr>
          <w:p>
            <w:r>
              <w:rPr>
                <w:rFonts w:ascii="Helvetica" w:hAnsi="Helvetica"/>
                <w:color w:val="2B2B2B"/>
                <w:sz w:val="20"/>
              </w:rPr>
              <w:t>$19.5M</w:t>
            </w:r>
          </w:p>
        </w:tc>
        <w:tc>
          <w:tcPr>
            <w:tcW w:type="dxa" w:w="2160"/>
          </w:tcPr>
          <w:p>
            <w:r>
              <w:rPr>
                <w:rFonts w:ascii="Helvetica" w:hAnsi="Helvetica"/>
                <w:color w:val="2B2B2B"/>
                <w:sz w:val="20"/>
              </w:rPr>
              <w:t>+6.4%</w:t>
            </w:r>
          </w:p>
        </w:tc>
      </w:tr>
      <w:tr>
        <w:tc>
          <w:tcPr>
            <w:tcW w:type="dxa" w:w="2160"/>
          </w:tcPr>
          <w:p>
            <w:r>
              <w:rPr>
                <w:rFonts w:ascii="Helvetica" w:hAnsi="Helvetica"/>
                <w:color w:val="2B2B2B"/>
                <w:sz w:val="20"/>
              </w:rPr>
              <w:t>Gross Margin</w:t>
            </w:r>
          </w:p>
        </w:tc>
        <w:tc>
          <w:tcPr>
            <w:tcW w:type="dxa" w:w="2160"/>
          </w:tcPr>
          <w:p>
            <w:r>
              <w:rPr>
                <w:rFonts w:ascii="Helvetica" w:hAnsi="Helvetica"/>
                <w:color w:val="2B2B2B"/>
                <w:sz w:val="20"/>
              </w:rPr>
              <w:t>30.0%</w:t>
            </w:r>
          </w:p>
        </w:tc>
        <w:tc>
          <w:tcPr>
            <w:tcW w:type="dxa" w:w="2160"/>
          </w:tcPr>
          <w:p>
            <w:r>
              <w:rPr>
                <w:rFonts w:ascii="Helvetica" w:hAnsi="Helvetica"/>
                <w:color w:val="2B2B2B"/>
                <w:sz w:val="20"/>
              </w:rPr>
              <w:t>30.4%</w:t>
            </w:r>
          </w:p>
        </w:tc>
        <w:tc>
          <w:tcPr>
            <w:tcW w:type="dxa" w:w="2160"/>
          </w:tcPr>
          <w:p>
            <w:r>
              <w:rPr>
                <w:rFonts w:ascii="Helvetica" w:hAnsi="Helvetica"/>
                <w:color w:val="2B2B2B"/>
                <w:sz w:val="20"/>
              </w:rPr>
              <w:t>-0.4 pts</w:t>
            </w:r>
          </w:p>
        </w:tc>
      </w:tr>
      <w:tr>
        <w:tc>
          <w:tcPr>
            <w:tcW w:type="dxa" w:w="2160"/>
          </w:tcPr>
          <w:p>
            <w:r>
              <w:rPr>
                <w:rFonts w:ascii="Helvetica" w:hAnsi="Helvetica"/>
                <w:color w:val="2B2B2B"/>
                <w:sz w:val="20"/>
              </w:rPr>
              <w:t>Cost of Goods Sold</w:t>
            </w:r>
          </w:p>
        </w:tc>
        <w:tc>
          <w:tcPr>
            <w:tcW w:type="dxa" w:w="2160"/>
          </w:tcPr>
          <w:p>
            <w:r>
              <w:rPr>
                <w:rFonts w:ascii="Helvetica" w:hAnsi="Helvetica"/>
                <w:color w:val="2B2B2B"/>
                <w:sz w:val="20"/>
              </w:rPr>
              <w:t>$48.4M</w:t>
            </w:r>
          </w:p>
        </w:tc>
        <w:tc>
          <w:tcPr>
            <w:tcW w:type="dxa" w:w="2160"/>
          </w:tcPr>
          <w:p>
            <w:r>
              <w:rPr>
                <w:rFonts w:ascii="Helvetica" w:hAnsi="Helvetica"/>
                <w:color w:val="2B2B2B"/>
                <w:sz w:val="20"/>
              </w:rPr>
              <w:t>$44.6M</w:t>
            </w:r>
          </w:p>
        </w:tc>
        <w:tc>
          <w:tcPr>
            <w:tcW w:type="dxa" w:w="2160"/>
          </w:tcPr>
          <w:p>
            <w:r>
              <w:rPr>
                <w:rFonts w:ascii="Helvetica" w:hAnsi="Helvetica"/>
                <w:color w:val="2B2B2B"/>
                <w:sz w:val="20"/>
              </w:rPr>
              <w:t>+8.5%</w:t>
            </w:r>
          </w:p>
        </w:tc>
      </w:tr>
      <w:tr>
        <w:tc>
          <w:tcPr>
            <w:tcW w:type="dxa" w:w="2160"/>
          </w:tcPr>
          <w:p>
            <w:r>
              <w:rPr>
                <w:rFonts w:ascii="Helvetica" w:hAnsi="Helvetica"/>
                <w:color w:val="2B2B2B"/>
                <w:sz w:val="20"/>
              </w:rPr>
              <w:t>Orders</w:t>
            </w:r>
          </w:p>
        </w:tc>
        <w:tc>
          <w:tcPr>
            <w:tcW w:type="dxa" w:w="2160"/>
          </w:tcPr>
          <w:p>
            <w:r>
              <w:rPr>
                <w:rFonts w:ascii="Helvetica" w:hAnsi="Helvetica"/>
                <w:color w:val="2B2B2B"/>
                <w:sz w:val="20"/>
              </w:rPr>
              <w:t>6,358</w:t>
            </w:r>
          </w:p>
        </w:tc>
        <w:tc>
          <w:tcPr>
            <w:tcW w:type="dxa" w:w="2160"/>
          </w:tcPr>
          <w:p>
            <w:r>
              <w:rPr>
                <w:rFonts w:ascii="Helvetica" w:hAnsi="Helvetica"/>
                <w:color w:val="2B2B2B"/>
                <w:sz w:val="20"/>
              </w:rPr>
              <w:t>6,071</w:t>
            </w:r>
          </w:p>
        </w:tc>
        <w:tc>
          <w:tcPr>
            <w:tcW w:type="dxa" w:w="2160"/>
          </w:tcPr>
          <w:p>
            <w:r>
              <w:rPr>
                <w:rFonts w:ascii="Helvetica" w:hAnsi="Helvetica"/>
                <w:color w:val="2B2B2B"/>
                <w:sz w:val="20"/>
              </w:rPr>
              <w:t>+4.7%</w:t>
            </w:r>
          </w:p>
        </w:tc>
      </w:tr>
    </w:tbl>
    <w:p>
      <w:r>
        <w:rPr>
          <w:color w:val="2B2B2B"/>
        </w:rPr>
        <w:t>The financial performance for FY2025 demonstrates Acme Co's ability to sustain growth in a challenging market environment.</w:t>
      </w:r>
    </w:p>
    <w:p>
      <w:r>
        <w:rPr>
          <w:color w:val="2B2B2B"/>
        </w:rPr>
        <w:t>Revenue growth of 7.9% exceeded industry averages, reflecting our strong market positioning and operational effectiveness.</w:t>
      </w:r>
    </w:p>
    <w:p>
      <w:r>
        <w:rPr>
          <w:color w:val="2B2B2B"/>
        </w:rPr>
        <w:t>Current-year revenue: $69.1M ($69,146,302.56)</w:t>
      </w:r>
    </w:p>
    <w:p>
      <w:r>
        <w:rPr>
          <w:color w:val="2B2B2B"/>
        </w:rPr>
        <w:t>Prior-year revenue: $64.1M ($64,106,153.02)</w:t>
      </w:r>
    </w:p>
    <w:p>
      <w:r>
        <w:rPr>
          <w:color w:val="2B2B2B"/>
        </w:rPr>
        <w:t>Revenue growth: 7.9%</w:t>
      </w:r>
    </w:p>
    <w:p>
      <w:r>
        <w:rPr>
          <w:color w:val="2B2B2B"/>
        </w:rPr>
        <w:t>Current-year gross profit: $20.7M</w:t>
      </w:r>
    </w:p>
    <w:p>
      <w:r>
        <w:rPr>
          <w:color w:val="2B2B2B"/>
        </w:rPr>
        <w:t>Prior-year gross profit: $19.5M</w:t>
      </w:r>
    </w:p>
    <w:p>
      <w:r>
        <w:rPr>
          <w:color w:val="2B2B2B"/>
        </w:rPr>
        <w:t>Current-year gross margin: 30.0%</w:t>
      </w:r>
    </w:p>
    <w:p>
      <w:r>
        <w:rPr>
          <w:color w:val="2B2B2B"/>
        </w:rPr>
        <w:t>Prior-year gross margin: 30.4%</w:t>
      </w:r>
    </w:p>
    <w:p>
      <w:r>
        <w:rPr>
          <w:color w:val="2B2B2B"/>
        </w:rPr>
        <w:t>Cost of goods sold: Current-year $48.4M, Prior-year $44.6M</w:t>
      </w:r>
    </w:p>
    <w:p>
      <w:r>
        <w:rPr>
          <w:color w:val="2B2B2B"/>
        </w:rPr>
        <w:t>Order volume: 6,358, representing a 4.7% increase over 6,071 in the prior year.</w:t>
      </w:r>
    </w:p>
    <w:p>
      <w:r>
        <w:rPr>
          <w:color w:val="2B2B2B"/>
        </w:rPr>
        <w:t>The financial results provide a solid foundation for continued investment in our growth initiatives and operational improvements for FY2026.</w:t>
      </w:r>
    </w:p>
    <w:p>
      <w:pPr>
        <w:pStyle w:val="Heading1"/>
      </w:pPr>
      <w:r>
        <w:t>Category performance</w:t>
      </w:r>
    </w:p>
    <w:p>
      <w:r>
        <w:t>Our product portfolio is organized into ten core categories, with the following distribution for FY2025:</w:t>
        <w:br/>
        <w:br/>
      </w:r>
    </w:p>
    <w:tbl>
      <w:tblPr>
        <w:tblStyle w:val="TableGrid"/>
        <w:tblW w:type="auto" w:w="0"/>
        <w:tblLook w:firstColumn="1" w:firstRow="1" w:lastColumn="0" w:lastRow="0" w:noHBand="0" w:noVBand="1" w:val="04A0"/>
      </w:tblPr>
      <w:tblGrid>
        <w:gridCol w:w="2880"/>
        <w:gridCol w:w="2880"/>
        <w:gridCol w:w="2880"/>
      </w:tblGrid>
      <w:tr>
        <w:tc>
          <w:tcPr>
            <w:tcW w:type="dxa" w:w="2880"/>
          </w:tcPr>
          <w:p>
            <w:r>
              <w:rPr>
                <w:rFonts w:ascii="Helvetica" w:hAnsi="Helvetica"/>
                <w:b/>
                <w:color w:val="2B2B2B"/>
                <w:sz w:val="20"/>
              </w:rPr>
              <w:t>Category</w:t>
            </w:r>
          </w:p>
        </w:tc>
        <w:tc>
          <w:tcPr>
            <w:tcW w:type="dxa" w:w="2880"/>
          </w:tcPr>
          <w:p>
            <w:r>
              <w:rPr>
                <w:rFonts w:ascii="Helvetica" w:hAnsi="Helvetica"/>
                <w:b/>
                <w:color w:val="2B2B2B"/>
                <w:sz w:val="20"/>
              </w:rPr>
              <w:t>Revenue</w:t>
            </w:r>
          </w:p>
        </w:tc>
        <w:tc>
          <w:tcPr>
            <w:tcW w:type="dxa" w:w="2880"/>
          </w:tcPr>
          <w:p>
            <w:r>
              <w:rPr>
                <w:rFonts w:ascii="Helvetica" w:hAnsi="Helvetica"/>
                <w:b/>
                <w:color w:val="2B2B2B"/>
                <w:sz w:val="20"/>
              </w:rPr>
              <w:t>Share of Revenue</w:t>
            </w:r>
          </w:p>
        </w:tc>
      </w:tr>
      <w:tr>
        <w:tc>
          <w:tcPr>
            <w:tcW w:type="dxa" w:w="2880"/>
          </w:tcPr>
          <w:p>
            <w:r>
              <w:rPr>
                <w:rFonts w:ascii="Helvetica" w:hAnsi="Helvetica"/>
                <w:color w:val="2B2B2B"/>
                <w:sz w:val="20"/>
              </w:rPr>
              <w:t>Material Handling</w:t>
            </w:r>
          </w:p>
        </w:tc>
        <w:tc>
          <w:tcPr>
            <w:tcW w:type="dxa" w:w="2880"/>
          </w:tcPr>
          <w:p>
            <w:r>
              <w:rPr>
                <w:rFonts w:ascii="Helvetica" w:hAnsi="Helvetica"/>
                <w:color w:val="2B2B2B"/>
                <w:sz w:val="20"/>
              </w:rPr>
              <w:t>$38,734,228.05</w:t>
            </w:r>
          </w:p>
        </w:tc>
        <w:tc>
          <w:tcPr>
            <w:tcW w:type="dxa" w:w="2880"/>
          </w:tcPr>
          <w:p>
            <w:r>
              <w:rPr>
                <w:rFonts w:ascii="Helvetica" w:hAnsi="Helvetica"/>
                <w:color w:val="2B2B2B"/>
                <w:sz w:val="20"/>
              </w:rPr>
              <w:t>56.0%</w:t>
            </w:r>
          </w:p>
        </w:tc>
      </w:tr>
      <w:tr>
        <w:tc>
          <w:tcPr>
            <w:tcW w:type="dxa" w:w="2880"/>
          </w:tcPr>
          <w:p>
            <w:r>
              <w:rPr>
                <w:rFonts w:ascii="Helvetica" w:hAnsi="Helvetica"/>
                <w:color w:val="2B2B2B"/>
                <w:sz w:val="20"/>
              </w:rPr>
              <w:t>Electrical</w:t>
            </w:r>
          </w:p>
        </w:tc>
        <w:tc>
          <w:tcPr>
            <w:tcW w:type="dxa" w:w="2880"/>
          </w:tcPr>
          <w:p>
            <w:r>
              <w:rPr>
                <w:rFonts w:ascii="Helvetica" w:hAnsi="Helvetica"/>
                <w:color w:val="2B2B2B"/>
                <w:sz w:val="20"/>
              </w:rPr>
              <w:t>$12,203,595.88</w:t>
            </w:r>
          </w:p>
        </w:tc>
        <w:tc>
          <w:tcPr>
            <w:tcW w:type="dxa" w:w="2880"/>
          </w:tcPr>
          <w:p>
            <w:r>
              <w:rPr>
                <w:rFonts w:ascii="Helvetica" w:hAnsi="Helvetica"/>
                <w:color w:val="2B2B2B"/>
                <w:sz w:val="20"/>
              </w:rPr>
              <w:t>17.6%</w:t>
            </w:r>
          </w:p>
        </w:tc>
      </w:tr>
      <w:tr>
        <w:tc>
          <w:tcPr>
            <w:tcW w:type="dxa" w:w="2880"/>
          </w:tcPr>
          <w:p>
            <w:r>
              <w:rPr>
                <w:rFonts w:ascii="Helvetica" w:hAnsi="Helvetica"/>
                <w:color w:val="2B2B2B"/>
                <w:sz w:val="20"/>
              </w:rPr>
              <w:t>Packaging</w:t>
            </w:r>
          </w:p>
        </w:tc>
        <w:tc>
          <w:tcPr>
            <w:tcW w:type="dxa" w:w="2880"/>
          </w:tcPr>
          <w:p>
            <w:r>
              <w:rPr>
                <w:rFonts w:ascii="Helvetica" w:hAnsi="Helvetica"/>
                <w:color w:val="2B2B2B"/>
                <w:sz w:val="20"/>
              </w:rPr>
              <w:t>$4,425,870.55</w:t>
            </w:r>
          </w:p>
        </w:tc>
        <w:tc>
          <w:tcPr>
            <w:tcW w:type="dxa" w:w="2880"/>
          </w:tcPr>
          <w:p>
            <w:r>
              <w:rPr>
                <w:rFonts w:ascii="Helvetica" w:hAnsi="Helvetica"/>
                <w:color w:val="2B2B2B"/>
                <w:sz w:val="20"/>
              </w:rPr>
              <w:t>6.4%</w:t>
            </w:r>
          </w:p>
        </w:tc>
      </w:tr>
      <w:tr>
        <w:tc>
          <w:tcPr>
            <w:tcW w:type="dxa" w:w="2880"/>
          </w:tcPr>
          <w:p>
            <w:r>
              <w:rPr>
                <w:rFonts w:ascii="Helvetica" w:hAnsi="Helvetica"/>
                <w:color w:val="2B2B2B"/>
                <w:sz w:val="20"/>
              </w:rPr>
              <w:t>Tools</w:t>
            </w:r>
          </w:p>
        </w:tc>
        <w:tc>
          <w:tcPr>
            <w:tcW w:type="dxa" w:w="2880"/>
          </w:tcPr>
          <w:p>
            <w:r>
              <w:rPr>
                <w:rFonts w:ascii="Helvetica" w:hAnsi="Helvetica"/>
                <w:color w:val="2B2B2B"/>
                <w:sz w:val="20"/>
              </w:rPr>
              <w:t>$3,755,547.27</w:t>
            </w:r>
          </w:p>
        </w:tc>
        <w:tc>
          <w:tcPr>
            <w:tcW w:type="dxa" w:w="2880"/>
          </w:tcPr>
          <w:p>
            <w:r>
              <w:rPr>
                <w:rFonts w:ascii="Helvetica" w:hAnsi="Helvetica"/>
                <w:color w:val="2B2B2B"/>
                <w:sz w:val="20"/>
              </w:rPr>
              <w:t>5.4%</w:t>
            </w:r>
          </w:p>
        </w:tc>
      </w:tr>
      <w:tr>
        <w:tc>
          <w:tcPr>
            <w:tcW w:type="dxa" w:w="2880"/>
          </w:tcPr>
          <w:p>
            <w:r>
              <w:rPr>
                <w:rFonts w:ascii="Helvetica" w:hAnsi="Helvetica"/>
                <w:color w:val="2B2B2B"/>
                <w:sz w:val="20"/>
              </w:rPr>
              <w:t>Safety &amp; PPE</w:t>
            </w:r>
          </w:p>
        </w:tc>
        <w:tc>
          <w:tcPr>
            <w:tcW w:type="dxa" w:w="2880"/>
          </w:tcPr>
          <w:p>
            <w:r>
              <w:rPr>
                <w:rFonts w:ascii="Helvetica" w:hAnsi="Helvetica"/>
                <w:color w:val="2B2B2B"/>
                <w:sz w:val="20"/>
              </w:rPr>
              <w:t>$2,914,085.72</w:t>
            </w:r>
          </w:p>
        </w:tc>
        <w:tc>
          <w:tcPr>
            <w:tcW w:type="dxa" w:w="2880"/>
          </w:tcPr>
          <w:p>
            <w:r>
              <w:rPr>
                <w:rFonts w:ascii="Helvetica" w:hAnsi="Helvetica"/>
                <w:color w:val="2B2B2B"/>
                <w:sz w:val="20"/>
              </w:rPr>
              <w:t>4.2%</w:t>
            </w:r>
          </w:p>
        </w:tc>
      </w:tr>
      <w:tr>
        <w:tc>
          <w:tcPr>
            <w:tcW w:type="dxa" w:w="2880"/>
          </w:tcPr>
          <w:p>
            <w:r>
              <w:rPr>
                <w:rFonts w:ascii="Helvetica" w:hAnsi="Helvetica"/>
                <w:color w:val="2B2B2B"/>
                <w:sz w:val="20"/>
              </w:rPr>
              <w:t>Janitorial</w:t>
            </w:r>
          </w:p>
        </w:tc>
        <w:tc>
          <w:tcPr>
            <w:tcW w:type="dxa" w:w="2880"/>
          </w:tcPr>
          <w:p>
            <w:r>
              <w:rPr>
                <w:rFonts w:ascii="Helvetica" w:hAnsi="Helvetica"/>
                <w:color w:val="2B2B2B"/>
                <w:sz w:val="20"/>
              </w:rPr>
              <w:t>$2,541,723.64</w:t>
            </w:r>
          </w:p>
        </w:tc>
        <w:tc>
          <w:tcPr>
            <w:tcW w:type="dxa" w:w="2880"/>
          </w:tcPr>
          <w:p>
            <w:r>
              <w:rPr>
                <w:rFonts w:ascii="Helvetica" w:hAnsi="Helvetica"/>
                <w:color w:val="2B2B2B"/>
                <w:sz w:val="20"/>
              </w:rPr>
              <w:t>3.7%</w:t>
            </w:r>
          </w:p>
        </w:tc>
      </w:tr>
      <w:tr>
        <w:tc>
          <w:tcPr>
            <w:tcW w:type="dxa" w:w="2880"/>
          </w:tcPr>
          <w:p>
            <w:r>
              <w:rPr>
                <w:rFonts w:ascii="Helvetica" w:hAnsi="Helvetica"/>
                <w:color w:val="2B2B2B"/>
                <w:sz w:val="20"/>
              </w:rPr>
              <w:t>Office Supplies</w:t>
            </w:r>
          </w:p>
        </w:tc>
        <w:tc>
          <w:tcPr>
            <w:tcW w:type="dxa" w:w="2880"/>
          </w:tcPr>
          <w:p>
            <w:r>
              <w:rPr>
                <w:rFonts w:ascii="Helvetica" w:hAnsi="Helvetica"/>
                <w:color w:val="2B2B2B"/>
                <w:sz w:val="20"/>
              </w:rPr>
              <w:t>$1,512,964.36</w:t>
            </w:r>
          </w:p>
        </w:tc>
        <w:tc>
          <w:tcPr>
            <w:tcW w:type="dxa" w:w="2880"/>
          </w:tcPr>
          <w:p>
            <w:r>
              <w:rPr>
                <w:rFonts w:ascii="Helvetica" w:hAnsi="Helvetica"/>
                <w:color w:val="2B2B2B"/>
                <w:sz w:val="20"/>
              </w:rPr>
              <w:t>2.2%</w:t>
            </w:r>
          </w:p>
        </w:tc>
      </w:tr>
      <w:tr>
        <w:tc>
          <w:tcPr>
            <w:tcW w:type="dxa" w:w="2880"/>
          </w:tcPr>
          <w:p>
            <w:r>
              <w:rPr>
                <w:rFonts w:ascii="Helvetica" w:hAnsi="Helvetica"/>
                <w:color w:val="2B2B2B"/>
                <w:sz w:val="20"/>
              </w:rPr>
              <w:t>Abrasives</w:t>
            </w:r>
          </w:p>
        </w:tc>
        <w:tc>
          <w:tcPr>
            <w:tcW w:type="dxa" w:w="2880"/>
          </w:tcPr>
          <w:p>
            <w:r>
              <w:rPr>
                <w:rFonts w:ascii="Helvetica" w:hAnsi="Helvetica"/>
                <w:color w:val="2B2B2B"/>
                <w:sz w:val="20"/>
              </w:rPr>
              <w:t>$1,309,985.75</w:t>
            </w:r>
          </w:p>
        </w:tc>
        <w:tc>
          <w:tcPr>
            <w:tcW w:type="dxa" w:w="2880"/>
          </w:tcPr>
          <w:p>
            <w:r>
              <w:rPr>
                <w:rFonts w:ascii="Helvetica" w:hAnsi="Helvetica"/>
                <w:color w:val="2B2B2B"/>
                <w:sz w:val="20"/>
              </w:rPr>
              <w:t>1.9%</w:t>
            </w:r>
          </w:p>
        </w:tc>
      </w:tr>
      <w:tr>
        <w:tc>
          <w:tcPr>
            <w:tcW w:type="dxa" w:w="2880"/>
          </w:tcPr>
          <w:p>
            <w:r>
              <w:rPr>
                <w:rFonts w:ascii="Helvetica" w:hAnsi="Helvetica"/>
                <w:color w:val="2B2B2B"/>
                <w:sz w:val="20"/>
              </w:rPr>
              <w:t>Fasteners</w:t>
            </w:r>
          </w:p>
        </w:tc>
        <w:tc>
          <w:tcPr>
            <w:tcW w:type="dxa" w:w="2880"/>
          </w:tcPr>
          <w:p>
            <w:r>
              <w:rPr>
                <w:rFonts w:ascii="Helvetica" w:hAnsi="Helvetica"/>
                <w:color w:val="2B2B2B"/>
                <w:sz w:val="20"/>
              </w:rPr>
              <w:t>$1,147,869.20</w:t>
            </w:r>
          </w:p>
        </w:tc>
        <w:tc>
          <w:tcPr>
            <w:tcW w:type="dxa" w:w="2880"/>
          </w:tcPr>
          <w:p>
            <w:r>
              <w:rPr>
                <w:rFonts w:ascii="Helvetica" w:hAnsi="Helvetica"/>
                <w:color w:val="2B2B2B"/>
                <w:sz w:val="20"/>
              </w:rPr>
              <w:t>1.7%</w:t>
            </w:r>
          </w:p>
        </w:tc>
      </w:tr>
      <w:tr>
        <w:tc>
          <w:tcPr>
            <w:tcW w:type="dxa" w:w="2880"/>
          </w:tcPr>
          <w:p>
            <w:r>
              <w:rPr>
                <w:rFonts w:ascii="Helvetica" w:hAnsi="Helvetica"/>
                <w:color w:val="2B2B2B"/>
                <w:sz w:val="20"/>
              </w:rPr>
              <w:t>Adhesives</w:t>
            </w:r>
          </w:p>
        </w:tc>
        <w:tc>
          <w:tcPr>
            <w:tcW w:type="dxa" w:w="2880"/>
          </w:tcPr>
          <w:p>
            <w:r>
              <w:rPr>
                <w:rFonts w:ascii="Helvetica" w:hAnsi="Helvetica"/>
                <w:color w:val="2B2B2B"/>
                <w:sz w:val="20"/>
              </w:rPr>
              <w:t>$600,432.14</w:t>
            </w:r>
          </w:p>
        </w:tc>
        <w:tc>
          <w:tcPr>
            <w:tcW w:type="dxa" w:w="2880"/>
          </w:tcPr>
          <w:p>
            <w:r>
              <w:rPr>
                <w:rFonts w:ascii="Helvetica" w:hAnsi="Helvetica"/>
                <w:color w:val="2B2B2B"/>
                <w:sz w:val="20"/>
              </w:rPr>
              <w:t>0.9%</w:t>
            </w:r>
          </w:p>
        </w:tc>
      </w:tr>
    </w:tbl>
    <w:p>
      <w:r>
        <w:rPr>
          <w:color w:val="2B2B2B"/>
        </w:rPr>
        <w:t>Category Analysis: Material Handling remains our dominant category, contributing 56.0% of total revenue.</w:t>
      </w:r>
    </w:p>
    <w:p>
      <w:r>
        <w:rPr>
          <w:color w:val="2B2B2B"/>
        </w:rPr>
        <w:t>This leadership position is supported by strong relationships with industrial clients and consistent demand for material handling solutions.</w:t>
      </w:r>
    </w:p>
    <w:p>
      <w:r>
        <w:rPr>
          <w:color w:val="2B2B2B"/>
        </w:rPr>
        <w:t>The Electrical category shows solid performance with 17.6% of revenue, supported by ongoing infrastructure projects in our key markets.</w:t>
      </w:r>
    </w:p>
    <w:p>
      <w:r>
        <w:rPr>
          <w:color w:val="2B2B2B"/>
        </w:rPr>
        <w:t>Packaging and Tools categories also demonstrate stability, providing diversified revenue streams.</w:t>
      </w:r>
    </w:p>
    <w:p>
      <w:r>
        <w:rPr>
          <w:color w:val="2B2B2B"/>
        </w:rPr>
        <w:t>The remaining categories contribute to a balanced portfolio, with Safety &amp; PPE, Janitorial, Office Supplies, Abrasives, Fasteners, and Adhesives each playing important roles.</w:t>
      </w:r>
    </w:p>
    <w:p>
      <w:r>
        <w:rPr>
          <w:color w:val="2B2B2B"/>
        </w:rPr>
        <w:t>These categories highlight our position as a comprehensive solutions provider, capable of meeting all industrial and office supply needs for our customers.</w:t>
      </w:r>
    </w:p>
    <w:p>
      <w:r>
        <w:t>Material Handling is our largest category, accounting for 56.0% of total revenue across our product mix.</w:t>
      </w:r>
    </w:p>
    <w:p>
      <w:pPr>
        <w:pStyle w:val="Heading1"/>
      </w:pPr>
      <w:r>
        <w:t>Customer and geographic performance</w:t>
      </w:r>
    </w:p>
    <w:p>
      <w:r>
        <w:t>Customer Concentration:</w:t>
        <w:br/>
        <w:br/>
      </w:r>
      <w:r>
        <w:t>Our top 20 customers represent 13.65% of total revenue for FY2025.</w:t>
        <w:br/>
        <w:br/>
      </w:r>
    </w:p>
    <w:p>
      <w:r>
        <w:t>Geographic Distribution (FY2025):</w:t>
        <w:br/>
        <w:br/>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rFonts w:ascii="Helvetica" w:hAnsi="Helvetica"/>
                <w:b/>
                <w:color w:val="2B2B2B"/>
                <w:sz w:val="20"/>
              </w:rPr>
              <w:t>Country</w:t>
            </w:r>
          </w:p>
        </w:tc>
        <w:tc>
          <w:tcPr>
            <w:tcW w:type="dxa" w:w="2160"/>
          </w:tcPr>
          <w:p>
            <w:r>
              <w:rPr>
                <w:rFonts w:ascii="Helvetica" w:hAnsi="Helvetica"/>
                <w:b/>
                <w:color w:val="2B2B2B"/>
                <w:sz w:val="20"/>
              </w:rPr>
              <w:t>Revenue</w:t>
            </w:r>
          </w:p>
        </w:tc>
        <w:tc>
          <w:tcPr>
            <w:tcW w:type="dxa" w:w="2160"/>
          </w:tcPr>
          <w:p>
            <w:r>
              <w:rPr>
                <w:rFonts w:ascii="Helvetica" w:hAnsi="Helvetica"/>
                <w:b/>
                <w:color w:val="2B2B2B"/>
                <w:sz w:val="20"/>
              </w:rPr>
              <w:t>Share of Revenue</w:t>
            </w:r>
          </w:p>
        </w:tc>
        <w:tc>
          <w:tcPr>
            <w:tcW w:type="dxa" w:w="2160"/>
          </w:tcPr>
          <w:p>
            <w:r>
              <w:rPr>
                <w:rFonts w:ascii="Helvetica" w:hAnsi="Helvetica"/>
                <w:b/>
                <w:color w:val="2B2B2B"/>
                <w:sz w:val="20"/>
              </w:rPr>
              <w:t>Orders</w:t>
            </w:r>
          </w:p>
        </w:tc>
      </w:tr>
      <w:tr>
        <w:tc>
          <w:tcPr>
            <w:tcW w:type="dxa" w:w="2160"/>
          </w:tcPr>
          <w:p>
            <w:r>
              <w:rPr>
                <w:rFonts w:ascii="Helvetica" w:hAnsi="Helvetica"/>
                <w:color w:val="2B2B2B"/>
                <w:sz w:val="20"/>
              </w:rPr>
              <w:t>Canada</w:t>
            </w:r>
          </w:p>
        </w:tc>
        <w:tc>
          <w:tcPr>
            <w:tcW w:type="dxa" w:w="2160"/>
          </w:tcPr>
          <w:p>
            <w:r>
              <w:rPr>
                <w:rFonts w:ascii="Helvetica" w:hAnsi="Helvetica"/>
                <w:color w:val="2B2B2B"/>
                <w:sz w:val="20"/>
              </w:rPr>
              <w:t>$48,209,042.23</w:t>
            </w:r>
          </w:p>
        </w:tc>
        <w:tc>
          <w:tcPr>
            <w:tcW w:type="dxa" w:w="2160"/>
          </w:tcPr>
          <w:p>
            <w:r>
              <w:rPr>
                <w:rFonts w:ascii="Helvetica" w:hAnsi="Helvetica"/>
                <w:color w:val="2B2B2B"/>
                <w:sz w:val="20"/>
              </w:rPr>
              <w:t>69.7%</w:t>
            </w:r>
          </w:p>
        </w:tc>
        <w:tc>
          <w:tcPr>
            <w:tcW w:type="dxa" w:w="2160"/>
          </w:tcPr>
          <w:p>
            <w:r>
              <w:rPr>
                <w:rFonts w:ascii="Helvetica" w:hAnsi="Helvetica"/>
                <w:color w:val="2B2B2B"/>
                <w:sz w:val="20"/>
              </w:rPr>
              <w:t>4,474</w:t>
            </w:r>
          </w:p>
        </w:tc>
      </w:tr>
      <w:tr>
        <w:tc>
          <w:tcPr>
            <w:tcW w:type="dxa" w:w="2160"/>
          </w:tcPr>
          <w:p>
            <w:r>
              <w:rPr>
                <w:rFonts w:ascii="Helvetica" w:hAnsi="Helvetica"/>
                <w:color w:val="2B2B2B"/>
                <w:sz w:val="20"/>
              </w:rPr>
              <w:t>United Arab Emirates</w:t>
            </w:r>
          </w:p>
        </w:tc>
        <w:tc>
          <w:tcPr>
            <w:tcW w:type="dxa" w:w="2160"/>
          </w:tcPr>
          <w:p>
            <w:r>
              <w:rPr>
                <w:rFonts w:ascii="Helvetica" w:hAnsi="Helvetica"/>
                <w:color w:val="2B2B2B"/>
                <w:sz w:val="20"/>
              </w:rPr>
              <w:t>$11,726,342.95</w:t>
            </w:r>
          </w:p>
        </w:tc>
        <w:tc>
          <w:tcPr>
            <w:tcW w:type="dxa" w:w="2160"/>
          </w:tcPr>
          <w:p>
            <w:r>
              <w:rPr>
                <w:rFonts w:ascii="Helvetica" w:hAnsi="Helvetica"/>
                <w:color w:val="2B2B2B"/>
                <w:sz w:val="20"/>
              </w:rPr>
              <w:t>17.0%</w:t>
            </w:r>
          </w:p>
        </w:tc>
        <w:tc>
          <w:tcPr>
            <w:tcW w:type="dxa" w:w="2160"/>
          </w:tcPr>
          <w:p>
            <w:r>
              <w:rPr>
                <w:rFonts w:ascii="Helvetica" w:hAnsi="Helvetica"/>
                <w:color w:val="2B2B2B"/>
                <w:sz w:val="20"/>
              </w:rPr>
              <w:t>1,069</w:t>
            </w:r>
          </w:p>
        </w:tc>
      </w:tr>
      <w:tr>
        <w:tc>
          <w:tcPr>
            <w:tcW w:type="dxa" w:w="2160"/>
          </w:tcPr>
          <w:p>
            <w:r>
              <w:rPr>
                <w:rFonts w:ascii="Helvetica" w:hAnsi="Helvetica"/>
                <w:color w:val="2B2B2B"/>
                <w:sz w:val="20"/>
              </w:rPr>
              <w:t>South Africa</w:t>
            </w:r>
          </w:p>
        </w:tc>
        <w:tc>
          <w:tcPr>
            <w:tcW w:type="dxa" w:w="2160"/>
          </w:tcPr>
          <w:p>
            <w:r>
              <w:rPr>
                <w:rFonts w:ascii="Helvetica" w:hAnsi="Helvetica"/>
                <w:color w:val="2B2B2B"/>
                <w:sz w:val="20"/>
              </w:rPr>
              <w:t>$3,961,855.28</w:t>
            </w:r>
          </w:p>
        </w:tc>
        <w:tc>
          <w:tcPr>
            <w:tcW w:type="dxa" w:w="2160"/>
          </w:tcPr>
          <w:p>
            <w:r>
              <w:rPr>
                <w:rFonts w:ascii="Helvetica" w:hAnsi="Helvetica"/>
                <w:color w:val="2B2B2B"/>
                <w:sz w:val="20"/>
              </w:rPr>
              <w:t>5.7%</w:t>
            </w:r>
          </w:p>
        </w:tc>
        <w:tc>
          <w:tcPr>
            <w:tcW w:type="dxa" w:w="2160"/>
          </w:tcPr>
          <w:p>
            <w:r>
              <w:rPr>
                <w:rFonts w:ascii="Helvetica" w:hAnsi="Helvetica"/>
                <w:color w:val="2B2B2B"/>
                <w:sz w:val="20"/>
              </w:rPr>
              <w:t>401</w:t>
            </w:r>
          </w:p>
        </w:tc>
      </w:tr>
      <w:tr>
        <w:tc>
          <w:tcPr>
            <w:tcW w:type="dxa" w:w="2160"/>
          </w:tcPr>
          <w:p>
            <w:r>
              <w:rPr>
                <w:rFonts w:ascii="Helvetica" w:hAnsi="Helvetica"/>
                <w:color w:val="2B2B2B"/>
                <w:sz w:val="20"/>
              </w:rPr>
              <w:t>United States</w:t>
            </w:r>
          </w:p>
        </w:tc>
        <w:tc>
          <w:tcPr>
            <w:tcW w:type="dxa" w:w="2160"/>
          </w:tcPr>
          <w:p>
            <w:r>
              <w:rPr>
                <w:rFonts w:ascii="Helvetica" w:hAnsi="Helvetica"/>
                <w:color w:val="2B2B2B"/>
                <w:sz w:val="20"/>
              </w:rPr>
              <w:t>$2,491,954.15</w:t>
            </w:r>
          </w:p>
        </w:tc>
        <w:tc>
          <w:tcPr>
            <w:tcW w:type="dxa" w:w="2160"/>
          </w:tcPr>
          <w:p>
            <w:r>
              <w:rPr>
                <w:rFonts w:ascii="Helvetica" w:hAnsi="Helvetica"/>
                <w:color w:val="2B2B2B"/>
                <w:sz w:val="20"/>
              </w:rPr>
              <w:t>3.6%</w:t>
            </w:r>
          </w:p>
        </w:tc>
        <w:tc>
          <w:tcPr>
            <w:tcW w:type="dxa" w:w="2160"/>
          </w:tcPr>
          <w:p>
            <w:r>
              <w:rPr>
                <w:rFonts w:ascii="Helvetica" w:hAnsi="Helvetica"/>
                <w:color w:val="2B2B2B"/>
                <w:sz w:val="20"/>
              </w:rPr>
              <w:t>178</w:t>
            </w:r>
          </w:p>
        </w:tc>
      </w:tr>
      <w:tr>
        <w:tc>
          <w:tcPr>
            <w:tcW w:type="dxa" w:w="2160"/>
          </w:tcPr>
          <w:p>
            <w:r>
              <w:rPr>
                <w:rFonts w:ascii="Helvetica" w:hAnsi="Helvetica"/>
                <w:color w:val="2B2B2B"/>
                <w:sz w:val="20"/>
              </w:rPr>
              <w:t>Qatar</w:t>
            </w:r>
          </w:p>
        </w:tc>
        <w:tc>
          <w:tcPr>
            <w:tcW w:type="dxa" w:w="2160"/>
          </w:tcPr>
          <w:p>
            <w:r>
              <w:rPr>
                <w:rFonts w:ascii="Helvetica" w:hAnsi="Helvetica"/>
                <w:color w:val="2B2B2B"/>
                <w:sz w:val="20"/>
              </w:rPr>
              <w:t>$1,504,454.07</w:t>
            </w:r>
          </w:p>
        </w:tc>
        <w:tc>
          <w:tcPr>
            <w:tcW w:type="dxa" w:w="2160"/>
          </w:tcPr>
          <w:p>
            <w:r>
              <w:rPr>
                <w:rFonts w:ascii="Helvetica" w:hAnsi="Helvetica"/>
                <w:color w:val="2B2B2B"/>
                <w:sz w:val="20"/>
              </w:rPr>
              <w:t>2.2%</w:t>
            </w:r>
          </w:p>
        </w:tc>
        <w:tc>
          <w:tcPr>
            <w:tcW w:type="dxa" w:w="2160"/>
          </w:tcPr>
          <w:p>
            <w:r>
              <w:rPr>
                <w:rFonts w:ascii="Helvetica" w:hAnsi="Helvetica"/>
                <w:color w:val="2B2B2B"/>
                <w:sz w:val="20"/>
              </w:rPr>
              <w:t>114</w:t>
            </w:r>
          </w:p>
        </w:tc>
      </w:tr>
      <w:tr>
        <w:tc>
          <w:tcPr>
            <w:tcW w:type="dxa" w:w="2160"/>
          </w:tcPr>
          <w:p>
            <w:r>
              <w:rPr>
                <w:rFonts w:ascii="Helvetica" w:hAnsi="Helvetica"/>
                <w:color w:val="2B2B2B"/>
                <w:sz w:val="20"/>
              </w:rPr>
              <w:t>Oman</w:t>
            </w:r>
          </w:p>
        </w:tc>
        <w:tc>
          <w:tcPr>
            <w:tcW w:type="dxa" w:w="2160"/>
          </w:tcPr>
          <w:p>
            <w:r>
              <w:rPr>
                <w:rFonts w:ascii="Helvetica" w:hAnsi="Helvetica"/>
                <w:color w:val="2B2B2B"/>
                <w:sz w:val="20"/>
              </w:rPr>
              <w:t>$1,252,653.88</w:t>
            </w:r>
          </w:p>
        </w:tc>
        <w:tc>
          <w:tcPr>
            <w:tcW w:type="dxa" w:w="2160"/>
          </w:tcPr>
          <w:p>
            <w:r>
              <w:rPr>
                <w:rFonts w:ascii="Helvetica" w:hAnsi="Helvetica"/>
                <w:color w:val="2B2B2B"/>
                <w:sz w:val="20"/>
              </w:rPr>
              <w:t>1.8%</w:t>
            </w:r>
          </w:p>
        </w:tc>
        <w:tc>
          <w:tcPr>
            <w:tcW w:type="dxa" w:w="2160"/>
          </w:tcPr>
          <w:p>
            <w:r>
              <w:rPr>
                <w:rFonts w:ascii="Helvetica" w:hAnsi="Helvetica"/>
                <w:color w:val="2B2B2B"/>
                <w:sz w:val="20"/>
              </w:rPr>
              <w:t>122</w:t>
            </w:r>
          </w:p>
        </w:tc>
      </w:tr>
    </w:tbl>
    <w:p>
      <w:r>
        <w:rPr>
          <w:color w:val="2B2B2B"/>
        </w:rPr>
        <w:t>Geographic Analysis: Our operations are headquartered in Toronto, Ontario, where our main distribution center and corporate offices are located at 2200 Industrial Parkway.</w:t>
      </w:r>
    </w:p>
    <w:p>
      <w:r>
        <w:rPr>
          <w:color w:val="2B2B2B"/>
        </w:rPr>
        <w:t>The Gulf office in Dubai, United Arab Emirates, serves our expansion efforts in the Middle East and North Africa region.</w:t>
      </w:r>
    </w:p>
    <w:p>
      <w:r>
        <w:rPr>
          <w:color w:val="2B2B2B"/>
        </w:rPr>
        <w:t>Canada remains our largest market, contributing 69.7% of total revenue. This reflects our deep roots in the Canadian industrial sector.</w:t>
      </w:r>
    </w:p>
    <w:p>
      <w:r>
        <w:rPr>
          <w:color w:val="2B2B2B"/>
        </w:rPr>
        <w:t>The United Arab Emirates contributes 17.0% of revenue, demonstrating the success of our Gulf operations in serving regional markets.</w:t>
      </w:r>
    </w:p>
    <w:p>
      <w:r>
        <w:rPr>
          <w:color w:val="2B2B2B"/>
        </w:rPr>
        <w:t>Our expansion into the Middle East and other regions provides geographic diversification that helps reduce reliance on any single market.</w:t>
      </w:r>
    </w:p>
    <w:p>
      <w:pPr>
        <w:pStyle w:val="Heading1"/>
      </w:pPr>
      <w:r>
        <w:t>Risk factors</w:t>
      </w:r>
    </w:p>
    <w:p>
      <w:r>
        <w:t>Key Risk Factors for FY2025:</w:t>
        <w:br/>
        <w:br/>
      </w:r>
      <w:r>
        <w:t>Acme Co operates in a concentrated market environment. The following risks must be considered:</w:t>
        <w:br/>
        <w:br/>
      </w:r>
    </w:p>
    <w:p>
      <w:r>
        <w:rPr>
          <w:color w:val="A63D40"/>
        </w:rPr>
        <w:t>• Material Handling category concentration: This single category represents 56.0% of total revenue, creating significant exposure to demand fluctuations within this segment.</w:t>
        <w:br/>
      </w:r>
    </w:p>
    <w:p>
      <w:r>
        <w:rPr>
          <w:color w:val="A63D40"/>
        </w:rPr>
        <w:t>• Top-20 customer concentration: Our largest customers collectively account for 13.65% of revenue, exposing the company to potential loss of major accounts.</w:t>
        <w:br/>
      </w:r>
    </w:p>
    <w:p>
      <w:r>
        <w:br/>
        <w:t>These concentrations represent key considerations for investors and stakeholders evaluating Acme Co's market position and financial stability.</w:t>
      </w:r>
    </w:p>
    <w:p>
      <w:r>
        <w:rPr>
          <w:color w:val="2B2B2B"/>
        </w:rPr>
        <w:t>To address concentration risks, Acme Co has implemented several mitigation strategies:</w:t>
      </w:r>
    </w:p>
    <w:p>
      <w:r>
        <w:rPr>
          <w:color w:val="2B2B2B"/>
        </w:rPr>
        <w:t>1. Customer Diversification: We continue to expand our customer base through targeted outreach and account development programs.</w:t>
      </w:r>
    </w:p>
    <w:p>
      <w:r>
        <w:rPr>
          <w:color w:val="2B2B2B"/>
        </w:rPr>
        <w:t>2. Product Diversification: While Material Handling remains our largest category, we are investing in our Electrical, Packaging, and other categories.</w:t>
      </w:r>
    </w:p>
    <w:p>
      <w:r>
        <w:rPr>
          <w:color w:val="2B2B2B"/>
        </w:rPr>
        <w:t>3. Geographic Expansion: Our expansion into the Middle East and other regions provides geographic diversification.</w:t>
      </w:r>
    </w:p>
    <w:p>
      <w:pPr>
        <w:pStyle w:val="Heading1"/>
      </w:pPr>
      <w:r>
        <w:t>Outlook for FY2026</w:t>
      </w:r>
    </w:p>
    <w:p>
      <w:r>
        <w:t>Looking ahead to FY2026, Acme Co expects to:</w:t>
        <w:br/>
        <w:br/>
      </w:r>
    </w:p>
    <w:p>
      <w:r>
        <w:rPr>
          <w:color w:val="2B2B2B"/>
        </w:rPr>
        <w:t>• Continue expanding our presence in strategic markets, particularly across the Middle East and North Africa</w:t>
      </w:r>
    </w:p>
    <w:p>
      <w:r>
        <w:rPr>
          <w:color w:val="2B2B2B"/>
        </w:rPr>
        <w:t>• Diversify our customer base to reduce concentration risks while maintaining strong relationships</w:t>
      </w:r>
    </w:p>
    <w:p>
      <w:r>
        <w:rPr>
          <w:color w:val="2B2B2B"/>
        </w:rPr>
        <w:t>• Invest in supply chain resilience to support growth in both material handling and diversified category offerings</w:t>
      </w:r>
    </w:p>
    <w:p>
      <w:r>
        <w:rPr>
          <w:color w:val="2B2B2B"/>
        </w:rPr>
        <w:t>• Enhance operational efficiency to improve gross margins beyond the current 30.0% level</w:t>
      </w:r>
    </w:p>
    <w:p>
      <w:r>
        <w:rPr>
          <w:color w:val="2B2B2B"/>
        </w:rPr>
        <w:t>• Maintain focus on delivering exceptional customer service as we scale operations</w:t>
      </w:r>
    </w:p>
    <w:p>
      <w:r>
        <w:rPr>
          <w:color w:val="2B2B2B"/>
        </w:rPr>
        <w:t>Strategic Priorities for FY2026 include market expansion, product portfolio enhancement, technology investment, and talent development.</w:t>
      </w:r>
    </w:p>
    <w:p>
      <w:r>
        <w:rPr>
          <w:color w:val="2B2B2B"/>
        </w:rPr>
        <w:t>Our outlook for FY2026 remains positive, supported by our strong operational foundation and experienced leadership team.</w:t>
      </w:r>
    </w:p>
    <w:p>
      <w:r>
        <w:rPr>
          <w:color w:val="2B2B2B"/>
        </w:rPr>
        <w:t>We are confident in our ability to achieve sustainable growth while delivering value to all our stakeholders.</w:t>
      </w:r>
    </w:p>
    <w:p>
      <w:r>
        <w:rPr>
          <w:color w:val="2B2B2B"/>
        </w:rPr>
        <w:t>We thank our shareholders for their continued support and look forward to reporting on our progress in FY2026.</w:t>
      </w:r>
    </w:p>
    <w:p>
      <w:r>
        <w:rPr>
          <w:color w:val="2B2B2B"/>
        </w:rPr>
        <w:t>The Acme Co Leadership Team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elvetica" w:hAnsi="Helvetica"/>
      <w:color w:val="2B2B2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Helvetica" w:hAnsi="Helvetica"/>
      <w:b/>
      <w:bCs/>
      <w:color w:val="0B3C5D"/>
      <w:sz w:val="4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rPr>
      <w:color w:val="2B2B2B"/>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B3C5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