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11680" cy="2011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Helvetica-Bold" w:hAnsi="Helvetica-Bold"/>
          <w:b/>
          <w:color w:val="0B3C5D"/>
          <w:sz w:val="80"/>
        </w:rPr>
        <w:t>Acme Co</w:t>
      </w:r>
    </w:p>
    <w:p>
      <w:pPr>
        <w:jc w:val="center"/>
      </w:pPr>
      <w:r>
        <w:rPr>
          <w:rFonts w:ascii="Helvetica-Bold" w:hAnsi="Helvetica-Bold"/>
          <w:b/>
          <w:color w:val="0B3C5D"/>
          <w:sz w:val="48"/>
        </w:rPr>
        <w:t>Annual Report</w:t>
      </w:r>
    </w:p>
    <w:p>
      <w:pPr>
        <w:jc w:val="center"/>
      </w:pPr>
      <w:r>
        <w:rPr>
          <w:rFonts w:ascii="Helvetica" w:hAnsi="Helvetica"/>
          <w:color w:val="1D7874"/>
          <w:sz w:val="36"/>
        </w:rPr>
        <w:t>Fiscal Year 2025</w:t>
      </w:r>
    </w:p>
    <w:p>
      <w:pPr>
        <w:jc w:val="center"/>
      </w:pPr>
      <w:r>
        <w:rPr>
          <w:rFonts w:ascii="Helvetica" w:hAnsi="Helvetica"/>
          <w:color w:val="2B2B2B"/>
          <w:sz w:val="24"/>
        </w:rPr>
        <w:t>Industrial and office supply distribution</w:t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  <w:t>Head office: 2200 Industrial Parkway, Toronto, ON M9W 0A1, Canada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Gulf office: Office 1408, Harbour Tower, Dubai, United Arab Emirates</w:t>
      </w:r>
    </w:p>
    <w:p>
      <w:r>
        <w:rPr>
          <w:rFonts w:ascii="Helvetica-Bold" w:hAnsi="Helvetica-Bold"/>
          <w:b/>
          <w:color w:val="0B3C5D"/>
          <w:sz w:val="48"/>
        </w:rPr>
        <w:t>Letter to shareholders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Acme Co is an industrial and office supply distributor operating from Toronto and Dubai.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This annual report presents the fiscal year 2025 financial and operational review.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During the year the company recorded revenue of $69.1M across 6,358 orders.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board of directors presents this report with confidence in the year under review.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profit of $20.7M and a gross margin of 30.0%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Revenue growth for the year was 7.9% and gross profit growth was 6.4%.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cost of goods sold of $48.4M and generated gross profit of $20.7M.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continue to serve industrial and office customers from its Toronto and Dubai offices.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maintains its distribution operations across industrial and office supply categories.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serves customers through its Toronto head office and its Gulf office.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records its financial results in Canadian dollars.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presents its fiscal year results on a twelve month basis.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continue to review its reporting practices in future periods.</w:t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profit of $19.5M for fiscal year 2024.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Prior-year revenue was $64.1M and prior-year gross profit was $19.5M.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margin of 30.4% for fiscal year 2024.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order growth of 4.7%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revenue growth of 7.9%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profit growth of 6.4%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a gross margin change of -0.4 points for fiscal year 2025.</w:t>
      </w:r>
    </w:p>
    <w:p>
      <w:r>
        <w:rPr>
          <w:rFonts w:ascii="Helvetica-Bold" w:hAnsi="Helvetica-Bold"/>
          <w:b/>
          <w:color w:val="0B3C5D"/>
          <w:sz w:val="48"/>
        </w:rPr>
        <w:t>FY2025 financial review</w:t>
      </w:r>
    </w:p>
    <w:p>
      <w:r>
        <w:rPr>
          <w:rFonts w:ascii="Helvetica-Bold" w:hAnsi="Helvetica-Bold"/>
          <w:b/>
          <w:color w:val="0B3C5D"/>
          <w:sz w:val="32"/>
        </w:rPr>
        <w:t>Revenue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Current-year revenue was $69.1M. Prior-year revenue was $64.1M.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Revenue growth for fiscal year 2025 was 7.9%.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6,358 orders during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6,071 orders during fiscal year 2024.</w:t>
      </w:r>
    </w:p>
    <w:p>
      <w:r>
        <w:rPr>
          <w:rFonts w:ascii="Helvetica-Bold" w:hAnsi="Helvetica-Bold"/>
          <w:b/>
          <w:color w:val="0B3C5D"/>
          <w:sz w:val="32"/>
        </w:rPr>
        <w:t>Gross profit and margin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Gross profit for fiscal year 2025 was $20.7M.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Gross margin for fiscal year 2025 was 30.0%.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Prior-year gross margin was 30.4%.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Gross margin change was -0.4 points.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Gross profit growth was 6.4%.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Gross profit for fiscal year 2024 was $19.5M.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cost of goods sold of $48.4M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cost of goods sold of $44.6M for fiscal year 2024.</w:t>
      </w:r>
    </w:p>
    <w:p>
      <w:r>
        <w:rPr>
          <w:rFonts w:ascii="Helvetica-Bold" w:hAnsi="Helvetica-Bold"/>
          <w:b/>
          <w:color w:val="0B3C5D"/>
          <w:sz w:val="32"/>
        </w:rPr>
        <w:t>Monthly revenue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Monthly revenue for fiscal year 2025 is presented in the table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Month</w:t>
            </w:r>
          </w:p>
        </w:tc>
        <w:tc>
          <w:tcPr>
            <w:tcW w:type="dxa" w:w="288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Revenue</w:t>
            </w:r>
          </w:p>
        </w:tc>
        <w:tc>
          <w:tcPr>
            <w:tcW w:type="dxa" w:w="288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Gross profit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$5.66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$1.70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2025-02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$4.41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$1.42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2025-03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$5.23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$1.60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2025-04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$6.86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$2.05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2025-05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$4.56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$1.47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2025-06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$4.77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$1.52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2025-07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$4.72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$1.39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2025-08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$3.69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$1.12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2025-09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$6.58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$1.92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2025-10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$7.98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$2.38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2025-11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$6.71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$1.95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2025-12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$7.98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$2.23</w:t>
            </w:r>
          </w:p>
        </w:tc>
      </w:tr>
    </w:tbl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sz w:val="12"/>
        </w:rPr>
        <w:br w:type="page"/>
      </w:r>
    </w:p>
    <w:p>
      <w:r>
        <w:rPr>
          <w:rFonts w:ascii="Helvetica-Bold" w:hAnsi="Helvetica-Bold"/>
          <w:b/>
          <w:color w:val="0B3C5D"/>
          <w:sz w:val="48"/>
        </w:rPr>
        <w:t>Category performance</w:t>
      </w:r>
    </w:p>
    <w:p>
      <w:r>
        <w:rPr>
          <w:rFonts w:ascii="Helvetica-Bold" w:hAnsi="Helvetica-Bold"/>
          <w:b/>
          <w:color w:val="0B3C5D"/>
          <w:sz w:val="32"/>
        </w:rPr>
        <w:t>FY2025 category mix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largest category in fiscal year 2025 was Material Handling, representing 56.0% of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Material Handling revenue was $38.7M.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revenue of $69.1M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profit of $20.7M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cost of goods sold of $48.4M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margin of 30.0% for fiscal year 2025.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revenue of $64.1M for fiscal year 2024.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recorded gross profit of $19.5M for fiscal year 2024.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Category</w:t>
            </w:r>
          </w:p>
        </w:tc>
        <w:tc>
          <w:tcPr>
            <w:tcW w:type="dxa" w:w="288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Revenue</w:t>
            </w:r>
          </w:p>
        </w:tc>
        <w:tc>
          <w:tcPr>
            <w:tcW w:type="dxa" w:w="288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Share of revenue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Material Handling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$38.73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56.0%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Electrical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$12.20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17.6%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Packaging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$4.43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6.4%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Tools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$3.76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5.4%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Safety &amp; PPE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$2.91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4.2%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Janitorial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$2.54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3.7%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Office Supplies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$1.51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2.2%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Abrasives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$1.31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1.9%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Fasteners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$1.15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1.7%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Adhesives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$0.60</w:t>
            </w:r>
          </w:p>
        </w:tc>
        <w:tc>
          <w:tcPr>
            <w:tcW w:type="dxa" w:w="2880"/>
          </w:tcPr>
          <w:p>
            <w:r/>
            <w:r>
              <w:rPr>
                <w:color w:val="2B2B2B"/>
                <w:sz w:val="20"/>
              </w:rPr>
              <w:t>0.9%</w:t>
            </w:r>
          </w:p>
        </w:tc>
      </w:tr>
    </w:tbl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sz w:val="12"/>
        </w:rPr>
        <w:br w:type="page"/>
      </w:r>
    </w:p>
    <w:p>
      <w:r>
        <w:rPr>
          <w:rFonts w:ascii="Helvetica-Bold" w:hAnsi="Helvetica-Bold"/>
          <w:b/>
          <w:color w:val="0B3C5D"/>
          <w:sz w:val="48"/>
        </w:rPr>
        <w:t>Customer and geographic performance</w:t>
      </w:r>
    </w:p>
    <w:p>
      <w:r>
        <w:rPr>
          <w:rFonts w:ascii="Helvetica-Bold" w:hAnsi="Helvetica-Bold"/>
          <w:b/>
          <w:color w:val="0B3C5D"/>
          <w:sz w:val="32"/>
        </w:rPr>
        <w:t>Customer concentration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top 20 customers together accounted for 13.65% of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largest customer was Foxglove Stores LLC, with revenue of $926,855.96, representing 1.34% of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-Bold" w:hAnsi="Helvetica-Bold"/>
          <w:b/>
          <w:color w:val="0B3C5D"/>
          <w:sz w:val="32"/>
        </w:rPr>
        <w:t>Top customers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Rank</w:t>
            </w:r>
          </w:p>
        </w:tc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Customer</w:t>
            </w:r>
          </w:p>
        </w:tc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Revenue</w:t>
            </w:r>
          </w:p>
        </w:tc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Share of revenue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Foxglove Stores LLC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$926,855.96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1.34%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Pearl Developments Ltd.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$749,644.27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1.08%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Granite Fabrication Ltd.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$704,339.72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1.02%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Montcalm Entreposage inc.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$656,874.93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0.95%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Falcon Retail Group LLC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$543,431.33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0.79%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Érable Fleuve Entreposage Inc.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$536,141.25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0.78%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Saint-Laurent Académie ltée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$504,668.70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0.73%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Al Waha Property Management LLC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$496,286.01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0.72%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Driftwood Distribution Ltd.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$461,242.64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0.67%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10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Meridian Cedar Developments Ltd.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$433,604.37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0.63%</w:t>
            </w:r>
          </w:p>
        </w:tc>
      </w:tr>
    </w:tbl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  <w:t>FY2025 revenue by country: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Country</w:t>
            </w:r>
          </w:p>
        </w:tc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Revenue</w:t>
            </w:r>
          </w:p>
        </w:tc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Share of revenue</w:t>
            </w:r>
          </w:p>
        </w:tc>
        <w:tc>
          <w:tcPr>
            <w:tcW w:type="dxa" w:w="2160"/>
            <w:shd w:val="clear" w:fill="0B3C5D"/>
          </w:tcPr>
          <w:p>
            <w:pPr>
              <w:spacing w:before="40" w:after="40"/>
            </w:pPr>
            <w:r/>
            <w:r>
              <w:rPr>
                <w:b/>
                <w:color w:val="0B3C5D"/>
                <w:sz w:val="20"/>
              </w:rPr>
              <w:t>Orders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CA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$48.21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69.7%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4474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AE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$11.73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17.0%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1069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SA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$3.96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5.7%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401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US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$2.49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3.6%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178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QA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$1.50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2.2%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114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OM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$1.25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1.8%</w:t>
            </w:r>
          </w:p>
        </w:tc>
        <w:tc>
          <w:tcPr>
            <w:tcW w:type="dxa" w:w="2160"/>
          </w:tcPr>
          <w:p>
            <w:r/>
            <w:r>
              <w:rPr>
                <w:color w:val="2B2B2B"/>
                <w:sz w:val="20"/>
              </w:rPr>
              <w:t>122</w:t>
            </w:r>
          </w:p>
        </w:tc>
      </w:tr>
    </w:tbl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sz w:val="12"/>
        </w:rPr>
        <w:br w:type="page"/>
      </w:r>
    </w:p>
    <w:p>
      <w:r>
        <w:rPr>
          <w:rFonts w:ascii="Helvetica-Bold" w:hAnsi="Helvetica-Bold"/>
          <w:b/>
          <w:color w:val="0B3C5D"/>
          <w:sz w:val="48"/>
        </w:rPr>
        <w:t>Risk factors</w:t>
      </w:r>
    </w:p>
    <w:p>
      <w:r>
        <w:rPr>
          <w:rFonts w:ascii="Helvetica-Bold" w:hAnsi="Helvetica-Bold"/>
          <w:b/>
          <w:color w:val="0B3C5D"/>
          <w:sz w:val="32"/>
        </w:rPr>
        <w:t>Concentration risks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following concentration risks are disclosed plainly.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Material Handling concentration: Material Handling was the largest category at 56.0% of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Top-20 customer concentration: The top 20 customers together generated 13.65% of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These two concentration risks are the risks an investor-facing document must state plainly.</w:t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recognises that a material decline in a single category could affect overall results.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recognises that customer concentration could expose it to revenue loss.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recognises that reliance on a small number of large customers could reduce flexibility.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recognises that geographic exposure through the Toronto head office and Gulf office may affect results.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recognises that the Gulf office may affect international revenue results.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recognises that the Toronto head office may affect domestic revenue results.</w:t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rFonts w:ascii="Helvetica" w:hAnsi="Helvetica"/>
          <w:b w:val="0"/>
          <w:i w:val="0"/>
          <w:color w:val="2B2B2B"/>
          <w:sz w:val="22"/>
        </w:rPr>
      </w:r>
    </w:p>
    <w:p>
      <w:r>
        <w:rPr>
          <w:sz w:val="12"/>
        </w:rPr>
        <w:br w:type="page"/>
      </w:r>
    </w:p>
    <w:p>
      <w:r>
        <w:rPr>
          <w:rFonts w:ascii="Helvetica-Bold" w:hAnsi="Helvetica-Bold"/>
          <w:b/>
          <w:color w:val="0B3C5D"/>
          <w:sz w:val="48"/>
        </w:rPr>
        <w:t>Outlook for FY2026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Acme Co expects to continue its review of the fiscal year 2025 results in fiscal year 2026.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focus on the operational footprint in Toronto and Dubai.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continue to monitor category performance and customer concentration.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assess the appropriateness of its current-year revenue, gross profit and margin disclosures.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consider the impact of the Gulf office on future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consider the impact of the Toronto head office on future revenue.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review its pricing, sourcing and distribution strategy in the coming year.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continue to evaluate its customer base and market opportunities in the coming year.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provide updated financial disclosures in the next annual report.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review its category mix in the coming year.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review its monthly revenue results in the coming year.</w:t>
      </w:r>
    </w:p>
    <w:p>
      <w:r>
        <w:rPr>
          <w:rFonts w:ascii="Helvetica" w:hAnsi="Helvetica"/>
          <w:b w:val="0"/>
          <w:i w:val="0"/>
          <w:color w:val="2B2B2B"/>
          <w:sz w:val="22"/>
        </w:rPr>
        <w:t>The company will review its gross profit and margin results in the coming year.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