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320"/>
        <w:jc w:val="left"/>
      </w:pPr>
      <w:r>
        <w:rPr>
          <w:rFonts w:ascii="Helvetica" w:hAnsi="Helvetica"/>
          <w:b/>
          <w:i w:val="0"/>
          <w:color w:val="0B3C5D"/>
          <w:sz w:val="68"/>
        </w:rPr>
        <w:t>Annual Report</w:t>
      </w:r>
    </w:p>
    <w:p>
      <w:pPr>
        <w:spacing w:after="160" w:before="0"/>
        <w:jc w:val="left"/>
      </w:pPr>
      <w:r>
        <w:rPr>
          <w:rFonts w:ascii="Helvetica" w:hAnsi="Helvetica"/>
          <w:b/>
          <w:i w:val="0"/>
          <w:color w:val="1D7874"/>
          <w:sz w:val="48"/>
        </w:rPr>
        <w:t>Fiscal Year 2025</w:t>
      </w:r>
    </w:p>
    <w:p>
      <w:pPr>
        <w:spacing w:before="0" w:after="240"/>
        <w:pBdr>
          <w:bottom w:val="single" w:sz="12" w:space="1" w:color="0B3C5D"/>
        </w:pBdr>
      </w:pPr>
    </w:p>
    <w:p>
      <w:pPr>
        <w:spacing w:after="240" w:before="0"/>
        <w:jc w:val="left"/>
      </w:pPr>
      <w:r>
        <w:rPr>
          <w:rFonts w:ascii="Helvetica" w:hAnsi="Helvetica"/>
          <w:b/>
          <w:i w:val="0"/>
          <w:color w:val="0B3C5D"/>
          <w:sz w:val="26"/>
        </w:rPr>
        <w:t>Acme Co — Industrial and office supply distribution</w:t>
      </w:r>
    </w:p>
    <w:p>
      <w:pPr>
        <w:spacing w:after="20" w:before="0"/>
        <w:jc w:val="left"/>
      </w:pPr>
      <w:r>
        <w:rPr>
          <w:rFonts w:ascii="Helvetica" w:hAnsi="Helvetica"/>
          <w:b/>
          <w:i w:val="0"/>
          <w:color w:val="0B3C5D"/>
          <w:sz w:val="20"/>
        </w:rPr>
        <w:t>Head office</w:t>
      </w:r>
    </w:p>
    <w:p>
      <w:pPr>
        <w:spacing w:after="160" w:before="0"/>
        <w:jc w:val="left"/>
      </w:pPr>
      <w:r>
        <w:rPr>
          <w:rFonts w:ascii="Helvetica" w:hAnsi="Helvetica"/>
          <w:b w:val="0"/>
          <w:i w:val="0"/>
          <w:color w:val="2B2B2B"/>
          <w:sz w:val="21"/>
        </w:rPr>
        <w:t>2200 Industrial Parkway, Toronto, ON  M9W 0A1, Canada</w:t>
      </w:r>
    </w:p>
    <w:p>
      <w:pPr>
        <w:spacing w:after="20" w:before="0"/>
        <w:jc w:val="left"/>
      </w:pPr>
      <w:r>
        <w:rPr>
          <w:rFonts w:ascii="Helvetica" w:hAnsi="Helvetica"/>
          <w:b/>
          <w:i w:val="0"/>
          <w:color w:val="0B3C5D"/>
          <w:sz w:val="20"/>
        </w:rPr>
        <w:t>Gulf office</w:t>
      </w:r>
    </w:p>
    <w:p>
      <w:pPr>
        <w:spacing w:after="280" w:before="0"/>
        <w:jc w:val="left"/>
      </w:pPr>
      <w:r>
        <w:rPr>
          <w:rFonts w:ascii="Helvetica" w:hAnsi="Helvetica"/>
          <w:b w:val="0"/>
          <w:i w:val="0"/>
          <w:color w:val="2B2B2B"/>
          <w:sz w:val="21"/>
        </w:rPr>
        <w:t>Office 1408, Harbour Tower, Dubai, United Arab Emirates</w:t>
      </w:r>
    </w:p>
    <w:p>
      <w:pPr>
        <w:spacing w:after="100" w:before="0"/>
        <w:jc w:val="left"/>
      </w:pPr>
      <w:r>
        <w:rPr>
          <w:rFonts w:ascii="Helvetica" w:hAnsi="Helvetica"/>
          <w:b/>
          <w:i w:val="0"/>
          <w:color w:val="0B3C5D"/>
          <w:sz w:val="26"/>
        </w:rPr>
        <w:t>FY2025 at a glance</w:t>
      </w:r>
    </w:p>
    <w:tbl>
      <w:tblPr>
        <w:tblW w:type="auto" w:w="0"/>
        <w:jc w:val="center"/>
        <w:tblLayout w:type="fixed"/>
        <w:tblLook w:firstColumn="1" w:firstRow="1" w:lastColumn="0" w:lastRow="0" w:noHBand="0" w:noVBand="1" w:val="04A0"/>
        <w:tblBorders>
          <w:top w:val="single" w:sz="6" w:space="0" w:color="F2F4F5"/>
          <w:left w:val="single" w:sz="6" w:space="0" w:color="F2F4F5"/>
          <w:bottom w:val="single" w:sz="6" w:space="0" w:color="F2F4F5"/>
          <w:right w:val="single" w:sz="6" w:space="0" w:color="F2F4F5"/>
          <w:insideH w:val="single" w:sz="6" w:space="0" w:color="F2F4F5"/>
          <w:insideV w:val="single" w:sz="6" w:space="0" w:color="F2F4F5"/>
        </w:tblBorders>
      </w:tblPr>
      <w:tblGrid>
        <w:gridCol w:w="2376"/>
        <w:gridCol w:w="2376"/>
        <w:gridCol w:w="2376"/>
        <w:gridCol w:w="2376"/>
      </w:tblGrid>
      <w:tr>
        <w:trPr>
          <w:tblHeader w:val="true"/>
        </w:trPr>
        <w:tc>
          <w:tcPr>
            <w:tcW w:type="dxa" w:w="2736"/>
            <w:shd w:val="clear" w:color="auto" w:fill="F2F4F5"/>
          </w:tcPr>
          <w:p>
            <w:pPr>
              <w:spacing w:before="30" w:after="30" w:line="240" w:lineRule="auto"/>
              <w:jc w:val="left"/>
            </w:pPr>
            <w:r/>
            <w:r>
              <w:rPr>
                <w:rFonts w:ascii="Helvetica" w:hAnsi="Helvetica"/>
                <w:b/>
                <w:color w:val="0B3C5D"/>
                <w:sz w:val="20"/>
              </w:rPr>
              <w:t>Measure</w:t>
            </w:r>
          </w:p>
        </w:tc>
        <w:tc>
          <w:tcPr>
            <w:tcW w:type="dxa" w:w="2160"/>
            <w:shd w:val="clear" w:color="auto" w:fill="F2F4F5"/>
          </w:tcPr>
          <w:p>
            <w:pPr>
              <w:spacing w:before="30" w:after="30" w:line="240" w:lineRule="auto"/>
              <w:jc w:val="right"/>
            </w:pPr>
            <w:r/>
            <w:r>
              <w:rPr>
                <w:rFonts w:ascii="Helvetica" w:hAnsi="Helvetica"/>
                <w:b/>
                <w:color w:val="0B3C5D"/>
                <w:sz w:val="20"/>
              </w:rPr>
              <w:t>FY2025</w:t>
            </w:r>
          </w:p>
        </w:tc>
        <w:tc>
          <w:tcPr>
            <w:tcW w:type="dxa" w:w="2160"/>
            <w:shd w:val="clear" w:color="auto" w:fill="F2F4F5"/>
          </w:tcPr>
          <w:p>
            <w:pPr>
              <w:spacing w:before="30" w:after="30" w:line="240" w:lineRule="auto"/>
              <w:jc w:val="right"/>
            </w:pPr>
            <w:r/>
            <w:r>
              <w:rPr>
                <w:rFonts w:ascii="Helvetica" w:hAnsi="Helvetica"/>
                <w:b/>
                <w:color w:val="0B3C5D"/>
                <w:sz w:val="20"/>
              </w:rPr>
              <w:t>FY2024</w:t>
            </w:r>
          </w:p>
        </w:tc>
        <w:tc>
          <w:tcPr>
            <w:tcW w:type="dxa" w:w="2448"/>
            <w:shd w:val="clear" w:color="auto" w:fill="F2F4F5"/>
          </w:tcPr>
          <w:p>
            <w:pPr>
              <w:spacing w:before="30" w:after="30" w:line="240" w:lineRule="auto"/>
              <w:jc w:val="right"/>
            </w:pPr>
            <w:r/>
            <w:r>
              <w:rPr>
                <w:rFonts w:ascii="Helvetica" w:hAnsi="Helvetica"/>
                <w:b/>
                <w:color w:val="0B3C5D"/>
                <w:sz w:val="20"/>
              </w:rPr>
              <w:t>Year over year</w:t>
            </w:r>
          </w:p>
        </w:tc>
      </w:tr>
      <w:tr>
        <w:tc>
          <w:tcPr>
            <w:tcW w:type="dxa" w:w="2736"/>
          </w:tcPr>
          <w:p>
            <w:pPr>
              <w:spacing w:before="30" w:after="30" w:line="240" w:lineRule="auto"/>
              <w:jc w:val="left"/>
            </w:pPr>
            <w:r/>
            <w:r>
              <w:rPr>
                <w:rFonts w:ascii="Helvetica" w:hAnsi="Helvetica"/>
                <w:b w:val="0"/>
                <w:color w:val="2B2B2B"/>
                <w:sz w:val="20"/>
              </w:rPr>
              <w:t>Revenue</w:t>
            </w:r>
          </w:p>
        </w:tc>
        <w:tc>
          <w:tcPr>
            <w:tcW w:type="dxa" w:w="2160"/>
          </w:tcPr>
          <w:p>
            <w:pPr>
              <w:spacing w:before="30" w:after="30" w:line="240" w:lineRule="auto"/>
              <w:jc w:val="right"/>
            </w:pPr>
            <w:r/>
            <w:r>
              <w:rPr>
                <w:rFonts w:ascii="Helvetica" w:hAnsi="Helvetica"/>
                <w:b w:val="0"/>
                <w:color w:val="2B2B2B"/>
                <w:sz w:val="20"/>
              </w:rPr>
              <w:t>$69.1M</w:t>
            </w:r>
          </w:p>
        </w:tc>
        <w:tc>
          <w:tcPr>
            <w:tcW w:type="dxa" w:w="2160"/>
          </w:tcPr>
          <w:p>
            <w:pPr>
              <w:spacing w:before="30" w:after="30" w:line="240" w:lineRule="auto"/>
              <w:jc w:val="right"/>
            </w:pPr>
            <w:r/>
            <w:r>
              <w:rPr>
                <w:rFonts w:ascii="Helvetica" w:hAnsi="Helvetica"/>
                <w:b w:val="0"/>
                <w:color w:val="2B2B2B"/>
                <w:sz w:val="20"/>
              </w:rPr>
              <w:t>$64.1M</w:t>
            </w:r>
          </w:p>
        </w:tc>
        <w:tc>
          <w:tcPr>
            <w:tcW w:type="dxa" w:w="2448"/>
          </w:tcPr>
          <w:p>
            <w:pPr>
              <w:spacing w:before="30" w:after="30" w:line="240" w:lineRule="auto"/>
              <w:jc w:val="right"/>
            </w:pPr>
            <w:r/>
            <w:r>
              <w:rPr>
                <w:rFonts w:ascii="Helvetica" w:hAnsi="Helvetica"/>
                <w:b w:val="0"/>
                <w:color w:val="2B2B2B"/>
                <w:sz w:val="20"/>
              </w:rPr>
              <w:t>+7.9%</w:t>
            </w:r>
          </w:p>
        </w:tc>
      </w:tr>
      <w:tr>
        <w:tc>
          <w:tcPr>
            <w:tcW w:type="dxa" w:w="2736"/>
            <w:shd w:val="clear" w:color="auto" w:fill="F2F4F5"/>
          </w:tcPr>
          <w:p>
            <w:pPr>
              <w:spacing w:before="30" w:after="30" w:line="240" w:lineRule="auto"/>
              <w:jc w:val="left"/>
            </w:pPr>
            <w:r/>
            <w:r>
              <w:rPr>
                <w:rFonts w:ascii="Helvetica" w:hAnsi="Helvetica"/>
                <w:b w:val="0"/>
                <w:color w:val="2B2B2B"/>
                <w:sz w:val="20"/>
              </w:rPr>
              <w:t>Gross profit</w:t>
            </w:r>
          </w:p>
        </w:tc>
        <w:tc>
          <w:tcPr>
            <w:tcW w:type="dxa" w:w="2160"/>
            <w:shd w:val="clear" w:color="auto" w:fill="F2F4F5"/>
          </w:tcPr>
          <w:p>
            <w:pPr>
              <w:spacing w:before="30" w:after="30" w:line="240" w:lineRule="auto"/>
              <w:jc w:val="right"/>
            </w:pPr>
            <w:r/>
            <w:r>
              <w:rPr>
                <w:rFonts w:ascii="Helvetica" w:hAnsi="Helvetica"/>
                <w:b w:val="0"/>
                <w:color w:val="2B2B2B"/>
                <w:sz w:val="20"/>
              </w:rPr>
              <w:t>$20.7M</w:t>
            </w:r>
          </w:p>
        </w:tc>
        <w:tc>
          <w:tcPr>
            <w:tcW w:type="dxa" w:w="2160"/>
            <w:shd w:val="clear" w:color="auto" w:fill="F2F4F5"/>
          </w:tcPr>
          <w:p>
            <w:pPr>
              <w:spacing w:before="30" w:after="30" w:line="240" w:lineRule="auto"/>
              <w:jc w:val="right"/>
            </w:pPr>
            <w:r/>
            <w:r>
              <w:rPr>
                <w:rFonts w:ascii="Helvetica" w:hAnsi="Helvetica"/>
                <w:b w:val="0"/>
                <w:color w:val="2B2B2B"/>
                <w:sz w:val="20"/>
              </w:rPr>
              <w:t>$19.5M</w:t>
            </w:r>
          </w:p>
        </w:tc>
        <w:tc>
          <w:tcPr>
            <w:tcW w:type="dxa" w:w="2448"/>
            <w:shd w:val="clear" w:color="auto" w:fill="F2F4F5"/>
          </w:tcPr>
          <w:p>
            <w:pPr>
              <w:spacing w:before="30" w:after="30" w:line="240" w:lineRule="auto"/>
              <w:jc w:val="right"/>
            </w:pPr>
            <w:r/>
            <w:r>
              <w:rPr>
                <w:rFonts w:ascii="Helvetica" w:hAnsi="Helvetica"/>
                <w:b w:val="0"/>
                <w:color w:val="2B2B2B"/>
                <w:sz w:val="20"/>
              </w:rPr>
              <w:t>+6.4%</w:t>
            </w:r>
          </w:p>
        </w:tc>
      </w:tr>
      <w:tr>
        <w:tc>
          <w:tcPr>
            <w:tcW w:type="dxa" w:w="2736"/>
          </w:tcPr>
          <w:p>
            <w:pPr>
              <w:spacing w:before="30" w:after="30" w:line="240" w:lineRule="auto"/>
              <w:jc w:val="left"/>
            </w:pPr>
            <w:r/>
            <w:r>
              <w:rPr>
                <w:rFonts w:ascii="Helvetica" w:hAnsi="Helvetica"/>
                <w:b w:val="0"/>
                <w:color w:val="2B2B2B"/>
                <w:sz w:val="20"/>
              </w:rPr>
              <w:t>Gross margin</w:t>
            </w:r>
          </w:p>
        </w:tc>
        <w:tc>
          <w:tcPr>
            <w:tcW w:type="dxa" w:w="2160"/>
          </w:tcPr>
          <w:p>
            <w:pPr>
              <w:spacing w:before="30" w:after="30" w:line="240" w:lineRule="auto"/>
              <w:jc w:val="right"/>
            </w:pPr>
            <w:r/>
            <w:r>
              <w:rPr>
                <w:rFonts w:ascii="Helvetica" w:hAnsi="Helvetica"/>
                <w:b w:val="0"/>
                <w:color w:val="2B2B2B"/>
                <w:sz w:val="20"/>
              </w:rPr>
              <w:t>30.0%</w:t>
            </w:r>
          </w:p>
        </w:tc>
        <w:tc>
          <w:tcPr>
            <w:tcW w:type="dxa" w:w="2160"/>
          </w:tcPr>
          <w:p>
            <w:pPr>
              <w:spacing w:before="30" w:after="30" w:line="240" w:lineRule="auto"/>
              <w:jc w:val="right"/>
            </w:pPr>
            <w:r/>
            <w:r>
              <w:rPr>
                <w:rFonts w:ascii="Helvetica" w:hAnsi="Helvetica"/>
                <w:b w:val="0"/>
                <w:color w:val="2B2B2B"/>
                <w:sz w:val="20"/>
              </w:rPr>
              <w:t>30.4%</w:t>
            </w:r>
          </w:p>
        </w:tc>
        <w:tc>
          <w:tcPr>
            <w:tcW w:type="dxa" w:w="2448"/>
          </w:tcPr>
          <w:p>
            <w:pPr>
              <w:spacing w:before="30" w:after="30" w:line="240" w:lineRule="auto"/>
              <w:jc w:val="right"/>
            </w:pPr>
            <w:r/>
            <w:r>
              <w:rPr>
                <w:rFonts w:ascii="Helvetica" w:hAnsi="Helvetica"/>
                <w:b w:val="0"/>
                <w:color w:val="2B2B2B"/>
                <w:sz w:val="20"/>
              </w:rPr>
              <w:t>-0.4 points</w:t>
            </w:r>
          </w:p>
        </w:tc>
      </w:tr>
      <w:tr>
        <w:tc>
          <w:tcPr>
            <w:tcW w:type="dxa" w:w="2736"/>
            <w:shd w:val="clear" w:color="auto" w:fill="F2F4F5"/>
          </w:tcPr>
          <w:p>
            <w:pPr>
              <w:spacing w:before="30" w:after="30" w:line="240" w:lineRule="auto"/>
              <w:jc w:val="left"/>
            </w:pPr>
            <w:r/>
            <w:r>
              <w:rPr>
                <w:rFonts w:ascii="Helvetica" w:hAnsi="Helvetica"/>
                <w:b w:val="0"/>
                <w:color w:val="2B2B2B"/>
                <w:sz w:val="20"/>
              </w:rPr>
              <w:t>Orders</w:t>
            </w:r>
          </w:p>
        </w:tc>
        <w:tc>
          <w:tcPr>
            <w:tcW w:type="dxa" w:w="2160"/>
            <w:shd w:val="clear" w:color="auto" w:fill="F2F4F5"/>
          </w:tcPr>
          <w:p>
            <w:pPr>
              <w:spacing w:before="30" w:after="30" w:line="240" w:lineRule="auto"/>
              <w:jc w:val="right"/>
            </w:pPr>
            <w:r/>
            <w:r>
              <w:rPr>
                <w:rFonts w:ascii="Helvetica" w:hAnsi="Helvetica"/>
                <w:b w:val="0"/>
                <w:color w:val="2B2B2B"/>
                <w:sz w:val="20"/>
              </w:rPr>
              <w:t>6,358</w:t>
            </w:r>
          </w:p>
        </w:tc>
        <w:tc>
          <w:tcPr>
            <w:tcW w:type="dxa" w:w="2160"/>
            <w:shd w:val="clear" w:color="auto" w:fill="F2F4F5"/>
          </w:tcPr>
          <w:p>
            <w:pPr>
              <w:spacing w:before="30" w:after="30" w:line="240" w:lineRule="auto"/>
              <w:jc w:val="right"/>
            </w:pPr>
            <w:r/>
            <w:r>
              <w:rPr>
                <w:rFonts w:ascii="Helvetica" w:hAnsi="Helvetica"/>
                <w:b w:val="0"/>
                <w:color w:val="2B2B2B"/>
                <w:sz w:val="20"/>
              </w:rPr>
              <w:t>6,071</w:t>
            </w:r>
          </w:p>
        </w:tc>
        <w:tc>
          <w:tcPr>
            <w:tcW w:type="dxa" w:w="2448"/>
            <w:shd w:val="clear" w:color="auto" w:fill="F2F4F5"/>
          </w:tcPr>
          <w:p>
            <w:pPr>
              <w:spacing w:before="30" w:after="30" w:line="240" w:lineRule="auto"/>
              <w:jc w:val="right"/>
            </w:pPr>
            <w:r/>
            <w:r>
              <w:rPr>
                <w:rFonts w:ascii="Helvetica" w:hAnsi="Helvetica"/>
                <w:b w:val="0"/>
                <w:color w:val="2B2B2B"/>
                <w:sz w:val="20"/>
              </w:rPr>
              <w:t>+4.7%</w:t>
            </w:r>
          </w:p>
        </w:tc>
      </w:tr>
    </w:tbl>
    <w:p>
      <w:pPr>
        <w:spacing w:before="40" w:after="220"/>
      </w:pPr>
      <w:r>
        <w:rPr>
          <w:rFonts w:ascii="Helvetica" w:hAnsi="Helvetica"/>
          <w:i/>
          <w:color w:val="2B2B2B"/>
          <w:sz w:val="20"/>
        </w:rPr>
        <w:t>All figures as reported in the FY2025 fact sheet. Detail follows in the financial review.</w:t>
      </w:r>
    </w:p>
    <w:p>
      <w:pPr>
        <w:spacing w:after="100" w:before="160"/>
        <w:jc w:val="left"/>
      </w:pPr>
      <w:r>
        <w:rPr>
          <w:rFonts w:ascii="Helvetica" w:hAnsi="Helvetica"/>
          <w:b/>
          <w:i w:val="0"/>
          <w:color w:val="0B3C5D"/>
          <w:sz w:val="26"/>
        </w:rPr>
        <w:t>Contents</w:t>
      </w:r>
    </w:p>
    <w:p>
      <w:pPr>
        <w:spacing w:after="60" w:before="0"/>
        <w:jc w:val="left"/>
      </w:pPr>
      <w:r>
        <w:rPr>
          <w:rFonts w:ascii="Helvetica" w:hAnsi="Helvetica"/>
          <w:b w:val="0"/>
          <w:i w:val="0"/>
          <w:color w:val="2B2B2B"/>
          <w:sz w:val="21"/>
        </w:rPr>
        <w:t>1.  Letter to shareholders</w:t>
      </w:r>
    </w:p>
    <w:p>
      <w:pPr>
        <w:spacing w:after="60" w:before="0"/>
        <w:jc w:val="left"/>
      </w:pPr>
      <w:r>
        <w:rPr>
          <w:rFonts w:ascii="Helvetica" w:hAnsi="Helvetica"/>
          <w:b w:val="0"/>
          <w:i w:val="0"/>
          <w:color w:val="2B2B2B"/>
          <w:sz w:val="21"/>
        </w:rPr>
        <w:t>2.  FY2025 financial review</w:t>
      </w:r>
    </w:p>
    <w:p>
      <w:pPr>
        <w:spacing w:after="60" w:before="0"/>
        <w:jc w:val="left"/>
      </w:pPr>
      <w:r>
        <w:rPr>
          <w:rFonts w:ascii="Helvetica" w:hAnsi="Helvetica"/>
          <w:b w:val="0"/>
          <w:i w:val="0"/>
          <w:color w:val="2B2B2B"/>
          <w:sz w:val="21"/>
        </w:rPr>
        <w:t>3.  Category performance</w:t>
      </w:r>
    </w:p>
    <w:p>
      <w:pPr>
        <w:spacing w:after="60" w:before="0"/>
        <w:jc w:val="left"/>
      </w:pPr>
      <w:r>
        <w:rPr>
          <w:rFonts w:ascii="Helvetica" w:hAnsi="Helvetica"/>
          <w:b w:val="0"/>
          <w:i w:val="0"/>
          <w:color w:val="2B2B2B"/>
          <w:sz w:val="21"/>
        </w:rPr>
        <w:t>4.  Customer and geographic performance</w:t>
      </w:r>
    </w:p>
    <w:p>
      <w:pPr>
        <w:spacing w:after="60" w:before="0"/>
        <w:jc w:val="left"/>
      </w:pPr>
      <w:r>
        <w:rPr>
          <w:rFonts w:ascii="Helvetica" w:hAnsi="Helvetica"/>
          <w:b w:val="0"/>
          <w:i w:val="0"/>
          <w:color w:val="2B2B2B"/>
          <w:sz w:val="21"/>
        </w:rPr>
        <w:t>5.  Risk factors</w:t>
      </w:r>
    </w:p>
    <w:p>
      <w:pPr>
        <w:spacing w:after="60" w:before="0"/>
        <w:jc w:val="left"/>
      </w:pPr>
      <w:r>
        <w:rPr>
          <w:rFonts w:ascii="Helvetica" w:hAnsi="Helvetica"/>
          <w:b w:val="0"/>
          <w:i w:val="0"/>
          <w:color w:val="2B2B2B"/>
          <w:sz w:val="21"/>
        </w:rPr>
        <w:t>6.  Outlook for FY2026</w:t>
      </w:r>
    </w:p>
    <w:p>
      <w:r>
        <w:br w:type="page"/>
      </w:r>
    </w:p>
    <w:p>
      <w:pPr>
        <w:pStyle w:val="Heading1"/>
      </w:pPr>
      <w:r>
        <w:t>Letter to shareholders</w:t>
      </w:r>
    </w:p>
    <w:p>
      <w:pPr>
        <w:spacing w:after="140" w:before="0"/>
        <w:jc w:val="left"/>
      </w:pPr>
      <w:r>
        <w:rPr>
          <w:rFonts w:ascii="Helvetica" w:hAnsi="Helvetica"/>
          <w:b w:val="0"/>
          <w:i w:val="0"/>
          <w:color w:val="2B2B2B"/>
          <w:sz w:val="21"/>
        </w:rPr>
        <w:t>Dear shareholders,</w:t>
      </w:r>
    </w:p>
    <w:p>
      <w:pPr>
        <w:spacing w:after="140" w:before="0"/>
        <w:jc w:val="left"/>
      </w:pPr>
      <w:r>
        <w:rPr>
          <w:rFonts w:ascii="Helvetica" w:hAnsi="Helvetica"/>
          <w:b w:val="0"/>
          <w:i w:val="0"/>
          <w:color w:val="2B2B2B"/>
          <w:sz w:val="21"/>
        </w:rPr>
        <w:t>Acme Co closed fiscal year 2025 with revenue of $69.1M ($69,146,302.56), an increase of 7.9% over the $64.1M ($64,106,153.02) recorded in fiscal year 2024. Gross profit grew 6.4% to $20.7M, and gross margin was 30.0% against 30.4% in the prior year — a decline of 0.4 points. Orders rose 4.7% to 6,358 from 6,071. The year therefore delivered growth in revenue, gross profit and order volume, with a modest step back in margin.</w:t>
      </w:r>
    </w:p>
    <w:p>
      <w:pPr>
        <w:spacing w:after="140" w:before="0"/>
        <w:jc w:val="left"/>
      </w:pPr>
      <w:r>
        <w:rPr>
          <w:rFonts w:ascii="Helvetica" w:hAnsi="Helvetica"/>
          <w:b w:val="0"/>
          <w:i w:val="0"/>
          <w:color w:val="2B2B2B"/>
          <w:sz w:val="21"/>
        </w:rPr>
        <w:t>We distribute industrial and office supplies from a head office at 2200 Industrial Parkway in Toronto and a Gulf office at Office 1408, Harbour Tower in Dubai. That two-hub structure is the backbone of the business: it lets us serve customers across Canada and the United States from Toronto, and across the United Arab Emirates, Saudi Arabia, Qatar and Oman from Dubai. In FY2025 we shipped 6,358 orders across those six countries, and every one was fulfilled from one of those two offices.</w:t>
      </w:r>
    </w:p>
    <w:p>
      <w:pPr>
        <w:spacing w:after="140" w:before="0"/>
        <w:jc w:val="left"/>
      </w:pPr>
      <w:r>
        <w:rPr>
          <w:rFonts w:ascii="Helvetica" w:hAnsi="Helvetica"/>
          <w:b w:val="0"/>
          <w:i w:val="0"/>
          <w:color w:val="2B2B2B"/>
          <w:sz w:val="21"/>
        </w:rPr>
        <w:t>The shape of the year is worth describing plainly. Revenue of $69.1M was earned across ten product categories, but the mix is not evenly spread. Material Handling was our largest category at $38,734,228.05, or 56.0% of revenue. Electrical followed at $12,203,595.88, or 17.6%. Packaging ($4,425,870.55, 6.4%), Tools ($3,755,547.27, 5.4%) and Safety &amp; PPE ($2,914,085.72, 4.2%) made up the next tier, with Janitorial ($2,541,723.64, 3.7%), Office Supplies ($1,512,964.36, 2.2%), Abrasives ($1,309,985.75, 1.9%), Fasteners ($1,147,869.20, 1.7%) and Adhesives ($600,432.14, 0.9%) completing the portfolio.</w:t>
      </w:r>
    </w:p>
    <w:p>
      <w:pPr>
        <w:spacing w:after="140" w:before="0"/>
        <w:jc w:val="left"/>
      </w:pPr>
      <w:r>
        <w:rPr>
          <w:rFonts w:ascii="Helvetica" w:hAnsi="Helvetica"/>
          <w:b w:val="0"/>
          <w:i w:val="0"/>
          <w:color w:val="2B2B2B"/>
          <w:sz w:val="21"/>
        </w:rPr>
        <w:t>Our customer base remains broad. The twenty largest customers together accounted for 13.65% of FY2025 revenue, and the single largest customer, C0848 Foxglove Stores LLC, accounted for 1.34% of revenue at $926,855.96. No customer in the top twenty exceeded 1.34%. That breadth is a genuine strength, and it is why we describe customer concentration as limited rather than acute.</w:t>
      </w:r>
    </w:p>
    <w:p>
      <w:pPr>
        <w:spacing w:after="140" w:before="0"/>
        <w:jc w:val="left"/>
      </w:pPr>
      <w:r>
        <w:rPr>
          <w:rFonts w:ascii="Helvetica" w:hAnsi="Helvetica"/>
          <w:b w:val="0"/>
          <w:i w:val="0"/>
          <w:color w:val="2B2B2B"/>
          <w:sz w:val="21"/>
        </w:rPr>
        <w:t>Geographically, Canada remained our largest market at $48,209,042.23, or 69.7% of revenue, delivered through 4,474 orders. The United Arab Emirates contributed $11,726,342.95, or 17.0%, across 1,069 orders. Saudi Arabia added $3,961,855.28 (5.7%, 401 orders), the United States $2,491,954.15 (3.6%, 178 orders), Qatar $1,504,454.07 (2.2%, 114 orders) and Oman $1,252,653.88 (1.8%, 122 orders).</w:t>
      </w:r>
    </w:p>
    <w:p>
      <w:pPr>
        <w:spacing w:after="140" w:before="0"/>
        <w:jc w:val="left"/>
      </w:pPr>
      <w:r>
        <w:rPr>
          <w:rFonts w:ascii="Helvetica" w:hAnsi="Helvetica"/>
          <w:b w:val="0"/>
          <w:i w:val="0"/>
          <w:color w:val="2B2B2B"/>
          <w:sz w:val="21"/>
        </w:rPr>
        <w:t>We want to be candid about what did not go to plan. Gross margin slipped from 30.4% to 30.0%, and gross profit growth of 6.4% trailed revenue growth of 7.9%. Cost of goods sold rose to $48.4M from $44.6M. The margin pressure was modest in absolute terms, but it is the number we are most focused on correcting. We are also conscious that a business earning 56.0% of its revenue from a single category carries a real concentration risk, and we say so directly in the risk factors section of this report.</w:t>
      </w:r>
    </w:p>
    <w:p>
      <w:pPr>
        <w:spacing w:after="140" w:before="0"/>
        <w:jc w:val="left"/>
      </w:pPr>
      <w:r>
        <w:rPr>
          <w:rFonts w:ascii="Helvetica" w:hAnsi="Helvetica"/>
          <w:b w:val="0"/>
          <w:i w:val="0"/>
          <w:color w:val="2B2B2B"/>
          <w:sz w:val="21"/>
        </w:rPr>
        <w:t>The monthly pattern of the year was uneven, as it always is in distribution. December was our strongest month at $7,982,078.21 of revenue, closely followed by October at $7,979,546.15 and April at $6,857,863.42. August was the weakest at $3,693,598.05. Managing that rhythm — staffing, stock and freight — without letting service levels slip is the operational discipline the business runs on.</w:t>
      </w:r>
    </w:p>
    <w:p>
      <w:pPr>
        <w:spacing w:after="140" w:before="0"/>
        <w:jc w:val="left"/>
      </w:pPr>
      <w:r>
        <w:rPr>
          <w:rFonts w:ascii="Helvetica" w:hAnsi="Helvetica"/>
          <w:b w:val="0"/>
          <w:i w:val="0"/>
          <w:color w:val="2B2B2B"/>
          <w:sz w:val="21"/>
        </w:rPr>
        <w:t>Looking to FY2026, our priorities are straightforward: hold and extend the revenue growth we delivered this year, recover the ground lost on gross margin, broaden the category mix so the business is less dependent on Material Handling, and keep growing the customer base so no single account becomes material to the whole. We will continue to invest behind both the Toronto head office and the Dubai Gulf office, because the two-hub model is what allows us to serve six countries with a single operating approach.</w:t>
      </w:r>
    </w:p>
    <w:p>
      <w:pPr>
        <w:spacing w:after="240" w:before="0"/>
        <w:jc w:val="left"/>
      </w:pPr>
      <w:r>
        <w:rPr>
          <w:rFonts w:ascii="Helvetica" w:hAnsi="Helvetica"/>
          <w:b w:val="0"/>
          <w:i w:val="0"/>
          <w:color w:val="2B2B2B"/>
          <w:sz w:val="21"/>
        </w:rPr>
        <w:t>Thank you for your continued support of Acme Co.</w:t>
      </w:r>
    </w:p>
    <w:p>
      <w:pPr>
        <w:spacing w:after="20" w:before="0"/>
        <w:jc w:val="left"/>
      </w:pPr>
      <w:r>
        <w:rPr>
          <w:rFonts w:ascii="Helvetica" w:hAnsi="Helvetica"/>
          <w:b/>
          <w:i w:val="0"/>
          <w:color w:val="0B3C5D"/>
          <w:sz w:val="21"/>
        </w:rPr>
        <w:t>The Board and Management of Acme Co</w:t>
      </w:r>
    </w:p>
    <w:p>
      <w:pPr>
        <w:spacing w:after="0" w:before="0"/>
        <w:jc w:val="left"/>
      </w:pPr>
      <w:r>
        <w:rPr>
          <w:rFonts w:ascii="Helvetica" w:hAnsi="Helvetica"/>
          <w:b w:val="0"/>
          <w:i w:val="0"/>
          <w:color w:val="2B2B2B"/>
          <w:sz w:val="21"/>
        </w:rPr>
        <w:t>Toronto, Canada</w:t>
      </w:r>
    </w:p>
    <w:p>
      <w:r>
        <w:br w:type="page"/>
      </w:r>
    </w:p>
    <w:p>
      <w:pPr>
        <w:pStyle w:val="Heading1"/>
      </w:pPr>
      <w:r>
        <w:t>FY2025 financial review</w:t>
      </w:r>
    </w:p>
    <w:p>
      <w:pPr>
        <w:spacing w:after="140" w:before="0"/>
        <w:jc w:val="left"/>
      </w:pPr>
      <w:r>
        <w:rPr>
          <w:rFonts w:ascii="Helvetica" w:hAnsi="Helvetica"/>
          <w:b w:val="0"/>
          <w:i w:val="0"/>
          <w:color w:val="2B2B2B"/>
          <w:sz w:val="21"/>
        </w:rPr>
        <w:t>This section sets out Acme Co's reported results for fiscal year 2025 alongside fiscal year 2024. All figures are stated as reported.</w:t>
      </w:r>
    </w:p>
    <w:p>
      <w:pPr>
        <w:pStyle w:val="Heading2"/>
      </w:pPr>
      <w:r>
        <w:t>Revenue, gross profit and margin</w:t>
      </w:r>
    </w:p>
    <w:tbl>
      <w:tblPr>
        <w:tblW w:type="auto" w:w="0"/>
        <w:jc w:val="center"/>
        <w:tblLayout w:type="fixed"/>
        <w:tblLook w:firstColumn="1" w:firstRow="1" w:lastColumn="0" w:lastRow="0" w:noHBand="0" w:noVBand="1" w:val="04A0"/>
        <w:tblBorders>
          <w:top w:val="single" w:sz="6" w:space="0" w:color="F2F4F5"/>
          <w:left w:val="single" w:sz="6" w:space="0" w:color="F2F4F5"/>
          <w:bottom w:val="single" w:sz="6" w:space="0" w:color="F2F4F5"/>
          <w:right w:val="single" w:sz="6" w:space="0" w:color="F2F4F5"/>
          <w:insideH w:val="single" w:sz="6" w:space="0" w:color="F2F4F5"/>
          <w:insideV w:val="single" w:sz="6" w:space="0" w:color="F2F4F5"/>
        </w:tblBorders>
      </w:tblPr>
      <w:tblGrid>
        <w:gridCol w:w="3168"/>
        <w:gridCol w:w="3168"/>
        <w:gridCol w:w="3168"/>
      </w:tblGrid>
      <w:tr>
        <w:trPr>
          <w:tblHeader w:val="true"/>
        </w:trPr>
        <w:tc>
          <w:tcPr>
            <w:tcW w:type="dxa" w:w="2736"/>
            <w:shd w:val="clear" w:color="auto" w:fill="F2F4F5"/>
          </w:tcPr>
          <w:p>
            <w:pPr>
              <w:spacing w:before="30" w:after="30" w:line="240" w:lineRule="auto"/>
              <w:jc w:val="left"/>
            </w:pPr>
            <w:r/>
            <w:r>
              <w:rPr>
                <w:rFonts w:ascii="Helvetica" w:hAnsi="Helvetica"/>
                <w:b/>
                <w:color w:val="0B3C5D"/>
                <w:sz w:val="20"/>
              </w:rPr>
              <w:t>Measure</w:t>
            </w:r>
          </w:p>
        </w:tc>
        <w:tc>
          <w:tcPr>
            <w:tcW w:type="dxa" w:w="3456"/>
            <w:shd w:val="clear" w:color="auto" w:fill="F2F4F5"/>
          </w:tcPr>
          <w:p>
            <w:pPr>
              <w:spacing w:before="30" w:after="30" w:line="240" w:lineRule="auto"/>
              <w:jc w:val="right"/>
            </w:pPr>
            <w:r/>
            <w:r>
              <w:rPr>
                <w:rFonts w:ascii="Helvetica" w:hAnsi="Helvetica"/>
                <w:b/>
                <w:color w:val="0B3C5D"/>
                <w:sz w:val="20"/>
              </w:rPr>
              <w:t>FY2025</w:t>
            </w:r>
          </w:p>
        </w:tc>
        <w:tc>
          <w:tcPr>
            <w:tcW w:type="dxa" w:w="3456"/>
            <w:shd w:val="clear" w:color="auto" w:fill="F2F4F5"/>
          </w:tcPr>
          <w:p>
            <w:pPr>
              <w:spacing w:before="30" w:after="30" w:line="240" w:lineRule="auto"/>
              <w:jc w:val="right"/>
            </w:pPr>
            <w:r/>
            <w:r>
              <w:rPr>
                <w:rFonts w:ascii="Helvetica" w:hAnsi="Helvetica"/>
                <w:b/>
                <w:color w:val="0B3C5D"/>
                <w:sz w:val="20"/>
              </w:rPr>
              <w:t>FY2024</w:t>
            </w:r>
          </w:p>
        </w:tc>
      </w:tr>
      <w:tr>
        <w:tc>
          <w:tcPr>
            <w:tcW w:type="dxa" w:w="2736"/>
          </w:tcPr>
          <w:p>
            <w:pPr>
              <w:spacing w:before="30" w:after="30" w:line="240" w:lineRule="auto"/>
              <w:jc w:val="left"/>
            </w:pPr>
            <w:r/>
            <w:r>
              <w:rPr>
                <w:rFonts w:ascii="Helvetica" w:hAnsi="Helvetica"/>
                <w:b w:val="0"/>
                <w:color w:val="2B2B2B"/>
                <w:sz w:val="20"/>
              </w:rPr>
              <w:t>Revenue</w:t>
            </w:r>
          </w:p>
        </w:tc>
        <w:tc>
          <w:tcPr>
            <w:tcW w:type="dxa" w:w="3456"/>
          </w:tcPr>
          <w:p>
            <w:pPr>
              <w:spacing w:before="30" w:after="30" w:line="240" w:lineRule="auto"/>
              <w:jc w:val="right"/>
            </w:pPr>
            <w:r/>
            <w:r>
              <w:rPr>
                <w:rFonts w:ascii="Helvetica" w:hAnsi="Helvetica"/>
                <w:b w:val="0"/>
                <w:color w:val="2B2B2B"/>
                <w:sz w:val="20"/>
              </w:rPr>
              <w:t>$69.1M ($69,146,302.56)</w:t>
            </w:r>
          </w:p>
        </w:tc>
        <w:tc>
          <w:tcPr>
            <w:tcW w:type="dxa" w:w="3456"/>
          </w:tcPr>
          <w:p>
            <w:pPr>
              <w:spacing w:before="30" w:after="30" w:line="240" w:lineRule="auto"/>
              <w:jc w:val="right"/>
            </w:pPr>
            <w:r/>
            <w:r>
              <w:rPr>
                <w:rFonts w:ascii="Helvetica" w:hAnsi="Helvetica"/>
                <w:b w:val="0"/>
                <w:color w:val="2B2B2B"/>
                <w:sz w:val="20"/>
              </w:rPr>
              <w:t>$64.1M ($64,106,153.02)</w:t>
            </w:r>
          </w:p>
        </w:tc>
      </w:tr>
      <w:tr>
        <w:tc>
          <w:tcPr>
            <w:tcW w:type="dxa" w:w="2736"/>
            <w:shd w:val="clear" w:color="auto" w:fill="F2F4F5"/>
          </w:tcPr>
          <w:p>
            <w:pPr>
              <w:spacing w:before="30" w:after="30" w:line="240" w:lineRule="auto"/>
              <w:jc w:val="left"/>
            </w:pPr>
            <w:r/>
            <w:r>
              <w:rPr>
                <w:rFonts w:ascii="Helvetica" w:hAnsi="Helvetica"/>
                <w:b w:val="0"/>
                <w:color w:val="2B2B2B"/>
                <w:sz w:val="20"/>
              </w:rPr>
              <w:t>Cost of goods sold</w:t>
            </w:r>
          </w:p>
        </w:tc>
        <w:tc>
          <w:tcPr>
            <w:tcW w:type="dxa" w:w="3456"/>
            <w:shd w:val="clear" w:color="auto" w:fill="F2F4F5"/>
          </w:tcPr>
          <w:p>
            <w:pPr>
              <w:spacing w:before="30" w:after="30" w:line="240" w:lineRule="auto"/>
              <w:jc w:val="right"/>
            </w:pPr>
            <w:r/>
            <w:r>
              <w:rPr>
                <w:rFonts w:ascii="Helvetica" w:hAnsi="Helvetica"/>
                <w:b w:val="0"/>
                <w:color w:val="2B2B2B"/>
                <w:sz w:val="20"/>
              </w:rPr>
              <w:t>$48.4M</w:t>
            </w:r>
          </w:p>
        </w:tc>
        <w:tc>
          <w:tcPr>
            <w:tcW w:type="dxa" w:w="3456"/>
            <w:shd w:val="clear" w:color="auto" w:fill="F2F4F5"/>
          </w:tcPr>
          <w:p>
            <w:pPr>
              <w:spacing w:before="30" w:after="30" w:line="240" w:lineRule="auto"/>
              <w:jc w:val="right"/>
            </w:pPr>
            <w:r/>
            <w:r>
              <w:rPr>
                <w:rFonts w:ascii="Helvetica" w:hAnsi="Helvetica"/>
                <w:b w:val="0"/>
                <w:color w:val="2B2B2B"/>
                <w:sz w:val="20"/>
              </w:rPr>
              <w:t>$44.6M</w:t>
            </w:r>
          </w:p>
        </w:tc>
      </w:tr>
      <w:tr>
        <w:tc>
          <w:tcPr>
            <w:tcW w:type="dxa" w:w="2736"/>
          </w:tcPr>
          <w:p>
            <w:pPr>
              <w:spacing w:before="30" w:after="30" w:line="240" w:lineRule="auto"/>
              <w:jc w:val="left"/>
            </w:pPr>
            <w:r/>
            <w:r>
              <w:rPr>
                <w:rFonts w:ascii="Helvetica" w:hAnsi="Helvetica"/>
                <w:b w:val="0"/>
                <w:color w:val="2B2B2B"/>
                <w:sz w:val="20"/>
              </w:rPr>
              <w:t>Gross profit</w:t>
            </w:r>
          </w:p>
        </w:tc>
        <w:tc>
          <w:tcPr>
            <w:tcW w:type="dxa" w:w="3456"/>
          </w:tcPr>
          <w:p>
            <w:pPr>
              <w:spacing w:before="30" w:after="30" w:line="240" w:lineRule="auto"/>
              <w:jc w:val="right"/>
            </w:pPr>
            <w:r/>
            <w:r>
              <w:rPr>
                <w:rFonts w:ascii="Helvetica" w:hAnsi="Helvetica"/>
                <w:b w:val="0"/>
                <w:color w:val="2B2B2B"/>
                <w:sz w:val="20"/>
              </w:rPr>
              <w:t>$20.7M</w:t>
            </w:r>
          </w:p>
        </w:tc>
        <w:tc>
          <w:tcPr>
            <w:tcW w:type="dxa" w:w="3456"/>
          </w:tcPr>
          <w:p>
            <w:pPr>
              <w:spacing w:before="30" w:after="30" w:line="240" w:lineRule="auto"/>
              <w:jc w:val="right"/>
            </w:pPr>
            <w:r/>
            <w:r>
              <w:rPr>
                <w:rFonts w:ascii="Helvetica" w:hAnsi="Helvetica"/>
                <w:b w:val="0"/>
                <w:color w:val="2B2B2B"/>
                <w:sz w:val="20"/>
              </w:rPr>
              <w:t>$19.5M</w:t>
            </w:r>
          </w:p>
        </w:tc>
      </w:tr>
      <w:tr>
        <w:tc>
          <w:tcPr>
            <w:tcW w:type="dxa" w:w="2736"/>
            <w:shd w:val="clear" w:color="auto" w:fill="F2F4F5"/>
          </w:tcPr>
          <w:p>
            <w:pPr>
              <w:spacing w:before="30" w:after="30" w:line="240" w:lineRule="auto"/>
              <w:jc w:val="left"/>
            </w:pPr>
            <w:r/>
            <w:r>
              <w:rPr>
                <w:rFonts w:ascii="Helvetica" w:hAnsi="Helvetica"/>
                <w:b w:val="0"/>
                <w:color w:val="2B2B2B"/>
                <w:sz w:val="20"/>
              </w:rPr>
              <w:t>Gross margin</w:t>
            </w:r>
          </w:p>
        </w:tc>
        <w:tc>
          <w:tcPr>
            <w:tcW w:type="dxa" w:w="3456"/>
            <w:shd w:val="clear" w:color="auto" w:fill="F2F4F5"/>
          </w:tcPr>
          <w:p>
            <w:pPr>
              <w:spacing w:before="30" w:after="30" w:line="240" w:lineRule="auto"/>
              <w:jc w:val="right"/>
            </w:pPr>
            <w:r/>
            <w:r>
              <w:rPr>
                <w:rFonts w:ascii="Helvetica" w:hAnsi="Helvetica"/>
                <w:b w:val="0"/>
                <w:color w:val="2B2B2B"/>
                <w:sz w:val="20"/>
              </w:rPr>
              <w:t>30.0%</w:t>
            </w:r>
          </w:p>
        </w:tc>
        <w:tc>
          <w:tcPr>
            <w:tcW w:type="dxa" w:w="3456"/>
            <w:shd w:val="clear" w:color="auto" w:fill="F2F4F5"/>
          </w:tcPr>
          <w:p>
            <w:pPr>
              <w:spacing w:before="30" w:after="30" w:line="240" w:lineRule="auto"/>
              <w:jc w:val="right"/>
            </w:pPr>
            <w:r/>
            <w:r>
              <w:rPr>
                <w:rFonts w:ascii="Helvetica" w:hAnsi="Helvetica"/>
                <w:b w:val="0"/>
                <w:color w:val="2B2B2B"/>
                <w:sz w:val="20"/>
              </w:rPr>
              <w:t>30.4%</w:t>
            </w:r>
          </w:p>
        </w:tc>
      </w:tr>
      <w:tr>
        <w:tc>
          <w:tcPr>
            <w:tcW w:type="dxa" w:w="2736"/>
          </w:tcPr>
          <w:p>
            <w:pPr>
              <w:spacing w:before="30" w:after="30" w:line="240" w:lineRule="auto"/>
              <w:jc w:val="left"/>
            </w:pPr>
            <w:r/>
            <w:r>
              <w:rPr>
                <w:rFonts w:ascii="Helvetica" w:hAnsi="Helvetica"/>
                <w:b w:val="0"/>
                <w:color w:val="2B2B2B"/>
                <w:sz w:val="20"/>
              </w:rPr>
              <w:t>Orders</w:t>
            </w:r>
          </w:p>
        </w:tc>
        <w:tc>
          <w:tcPr>
            <w:tcW w:type="dxa" w:w="3456"/>
          </w:tcPr>
          <w:p>
            <w:pPr>
              <w:spacing w:before="30" w:after="30" w:line="240" w:lineRule="auto"/>
              <w:jc w:val="right"/>
            </w:pPr>
            <w:r/>
            <w:r>
              <w:rPr>
                <w:rFonts w:ascii="Helvetica" w:hAnsi="Helvetica"/>
                <w:b w:val="0"/>
                <w:color w:val="2B2B2B"/>
                <w:sz w:val="20"/>
              </w:rPr>
              <w:t>6,358</w:t>
            </w:r>
          </w:p>
        </w:tc>
        <w:tc>
          <w:tcPr>
            <w:tcW w:type="dxa" w:w="3456"/>
          </w:tcPr>
          <w:p>
            <w:pPr>
              <w:spacing w:before="30" w:after="30" w:line="240" w:lineRule="auto"/>
              <w:jc w:val="right"/>
            </w:pPr>
            <w:r/>
            <w:r>
              <w:rPr>
                <w:rFonts w:ascii="Helvetica" w:hAnsi="Helvetica"/>
                <w:b w:val="0"/>
                <w:color w:val="2B2B2B"/>
                <w:sz w:val="20"/>
              </w:rPr>
              <w:t>6,071</w:t>
            </w:r>
          </w:p>
        </w:tc>
      </w:tr>
    </w:tbl>
    <w:p>
      <w:pPr>
        <w:spacing w:before="40" w:after="220"/>
      </w:pPr>
      <w:r>
        <w:rPr>
          <w:rFonts w:ascii="Helvetica" w:hAnsi="Helvetica"/>
          <w:i/>
          <w:color w:val="2B2B2B"/>
          <w:sz w:val="20"/>
        </w:rPr>
        <w:t>Table 1 — Reported results, FY2025 and FY2024.</w:t>
      </w:r>
    </w:p>
    <w:tbl>
      <w:tblPr>
        <w:tblW w:type="auto" w:w="0"/>
        <w:jc w:val="center"/>
        <w:tblLayout w:type="fixed"/>
        <w:tblLook w:firstColumn="1" w:firstRow="1" w:lastColumn="0" w:lastRow="0" w:noHBand="0" w:noVBand="1" w:val="04A0"/>
        <w:tblBorders>
          <w:top w:val="single" w:sz="6" w:space="0" w:color="F2F4F5"/>
          <w:left w:val="single" w:sz="6" w:space="0" w:color="F2F4F5"/>
          <w:bottom w:val="single" w:sz="6" w:space="0" w:color="F2F4F5"/>
          <w:right w:val="single" w:sz="6" w:space="0" w:color="F2F4F5"/>
          <w:insideH w:val="single" w:sz="6" w:space="0" w:color="F2F4F5"/>
          <w:insideV w:val="single" w:sz="6" w:space="0" w:color="F2F4F5"/>
        </w:tblBorders>
      </w:tblPr>
      <w:tblGrid>
        <w:gridCol w:w="4752"/>
        <w:gridCol w:w="4752"/>
      </w:tblGrid>
      <w:tr>
        <w:trPr>
          <w:tblHeader w:val="true"/>
        </w:trPr>
        <w:tc>
          <w:tcPr>
            <w:tcW w:type="dxa" w:w="4752"/>
            <w:shd w:val="clear" w:color="auto" w:fill="F2F4F5"/>
          </w:tcPr>
          <w:p>
            <w:pPr>
              <w:spacing w:before="30" w:after="30" w:line="240" w:lineRule="auto"/>
              <w:jc w:val="left"/>
            </w:pPr>
            <w:r/>
            <w:r>
              <w:rPr>
                <w:rFonts w:ascii="Helvetica" w:hAnsi="Helvetica"/>
                <w:b/>
                <w:color w:val="0B3C5D"/>
                <w:sz w:val="20"/>
              </w:rPr>
              <w:t>Year-over-year measure</w:t>
            </w:r>
          </w:p>
        </w:tc>
        <w:tc>
          <w:tcPr>
            <w:tcW w:type="dxa" w:w="2880"/>
            <w:shd w:val="clear" w:color="auto" w:fill="F2F4F5"/>
          </w:tcPr>
          <w:p>
            <w:pPr>
              <w:spacing w:before="30" w:after="30" w:line="240" w:lineRule="auto"/>
              <w:jc w:val="right"/>
            </w:pPr>
            <w:r/>
            <w:r>
              <w:rPr>
                <w:rFonts w:ascii="Helvetica" w:hAnsi="Helvetica"/>
                <w:b/>
                <w:color w:val="0B3C5D"/>
                <w:sz w:val="20"/>
              </w:rPr>
              <w:t>Change</w:t>
            </w:r>
          </w:p>
        </w:tc>
      </w:tr>
      <w:tr>
        <w:tc>
          <w:tcPr>
            <w:tcW w:type="dxa" w:w="4752"/>
          </w:tcPr>
          <w:p>
            <w:pPr>
              <w:spacing w:before="30" w:after="30" w:line="240" w:lineRule="auto"/>
              <w:jc w:val="left"/>
            </w:pPr>
            <w:r/>
            <w:r>
              <w:rPr>
                <w:rFonts w:ascii="Helvetica" w:hAnsi="Helvetica"/>
                <w:b w:val="0"/>
                <w:color w:val="2B2B2B"/>
                <w:sz w:val="20"/>
              </w:rPr>
              <w:t>Revenue growth</w:t>
            </w:r>
          </w:p>
        </w:tc>
        <w:tc>
          <w:tcPr>
            <w:tcW w:type="dxa" w:w="2880"/>
          </w:tcPr>
          <w:p>
            <w:pPr>
              <w:spacing w:before="30" w:after="30" w:line="240" w:lineRule="auto"/>
              <w:jc w:val="right"/>
            </w:pPr>
            <w:r/>
            <w:r>
              <w:rPr>
                <w:rFonts w:ascii="Helvetica" w:hAnsi="Helvetica"/>
                <w:b w:val="0"/>
                <w:color w:val="2B2B2B"/>
                <w:sz w:val="20"/>
              </w:rPr>
              <w:t>+7.9%</w:t>
            </w:r>
          </w:p>
        </w:tc>
      </w:tr>
      <w:tr>
        <w:tc>
          <w:tcPr>
            <w:tcW w:type="dxa" w:w="4752"/>
            <w:shd w:val="clear" w:color="auto" w:fill="F2F4F5"/>
          </w:tcPr>
          <w:p>
            <w:pPr>
              <w:spacing w:before="30" w:after="30" w:line="240" w:lineRule="auto"/>
              <w:jc w:val="left"/>
            </w:pPr>
            <w:r/>
            <w:r>
              <w:rPr>
                <w:rFonts w:ascii="Helvetica" w:hAnsi="Helvetica"/>
                <w:b w:val="0"/>
                <w:color w:val="2B2B2B"/>
                <w:sz w:val="20"/>
              </w:rPr>
              <w:t>Gross profit growth</w:t>
            </w:r>
          </w:p>
        </w:tc>
        <w:tc>
          <w:tcPr>
            <w:tcW w:type="dxa" w:w="2880"/>
            <w:shd w:val="clear" w:color="auto" w:fill="F2F4F5"/>
          </w:tcPr>
          <w:p>
            <w:pPr>
              <w:spacing w:before="30" w:after="30" w:line="240" w:lineRule="auto"/>
              <w:jc w:val="right"/>
            </w:pPr>
            <w:r/>
            <w:r>
              <w:rPr>
                <w:rFonts w:ascii="Helvetica" w:hAnsi="Helvetica"/>
                <w:b w:val="0"/>
                <w:color w:val="2B2B2B"/>
                <w:sz w:val="20"/>
              </w:rPr>
              <w:t>+6.4%</w:t>
            </w:r>
          </w:p>
        </w:tc>
      </w:tr>
      <w:tr>
        <w:tc>
          <w:tcPr>
            <w:tcW w:type="dxa" w:w="4752"/>
          </w:tcPr>
          <w:p>
            <w:pPr>
              <w:spacing w:before="30" w:after="30" w:line="240" w:lineRule="auto"/>
              <w:jc w:val="left"/>
            </w:pPr>
            <w:r/>
            <w:r>
              <w:rPr>
                <w:rFonts w:ascii="Helvetica" w:hAnsi="Helvetica"/>
                <w:b w:val="0"/>
                <w:color w:val="2B2B2B"/>
                <w:sz w:val="20"/>
              </w:rPr>
              <w:t>Gross margin change</w:t>
            </w:r>
          </w:p>
        </w:tc>
        <w:tc>
          <w:tcPr>
            <w:tcW w:type="dxa" w:w="2880"/>
          </w:tcPr>
          <w:p>
            <w:pPr>
              <w:spacing w:before="30" w:after="30" w:line="240" w:lineRule="auto"/>
              <w:jc w:val="right"/>
            </w:pPr>
            <w:r/>
            <w:r>
              <w:rPr>
                <w:rFonts w:ascii="Helvetica" w:hAnsi="Helvetica"/>
                <w:b w:val="0"/>
                <w:color w:val="2B2B2B"/>
                <w:sz w:val="20"/>
              </w:rPr>
              <w:t>-0.4 points</w:t>
            </w:r>
          </w:p>
        </w:tc>
      </w:tr>
      <w:tr>
        <w:tc>
          <w:tcPr>
            <w:tcW w:type="dxa" w:w="4752"/>
            <w:shd w:val="clear" w:color="auto" w:fill="F2F4F5"/>
          </w:tcPr>
          <w:p>
            <w:pPr>
              <w:spacing w:before="30" w:after="30" w:line="240" w:lineRule="auto"/>
              <w:jc w:val="left"/>
            </w:pPr>
            <w:r/>
            <w:r>
              <w:rPr>
                <w:rFonts w:ascii="Helvetica" w:hAnsi="Helvetica"/>
                <w:b w:val="0"/>
                <w:color w:val="2B2B2B"/>
                <w:sz w:val="20"/>
              </w:rPr>
              <w:t>Order growth</w:t>
            </w:r>
          </w:p>
        </w:tc>
        <w:tc>
          <w:tcPr>
            <w:tcW w:type="dxa" w:w="2880"/>
            <w:shd w:val="clear" w:color="auto" w:fill="F2F4F5"/>
          </w:tcPr>
          <w:p>
            <w:pPr>
              <w:spacing w:before="30" w:after="30" w:line="240" w:lineRule="auto"/>
              <w:jc w:val="right"/>
            </w:pPr>
            <w:r/>
            <w:r>
              <w:rPr>
                <w:rFonts w:ascii="Helvetica" w:hAnsi="Helvetica"/>
                <w:b w:val="0"/>
                <w:color w:val="2B2B2B"/>
                <w:sz w:val="20"/>
              </w:rPr>
              <w:t>+4.7%</w:t>
            </w:r>
          </w:p>
        </w:tc>
      </w:tr>
    </w:tbl>
    <w:p>
      <w:pPr>
        <w:spacing w:before="40" w:after="220"/>
      </w:pPr>
      <w:r>
        <w:rPr>
          <w:rFonts w:ascii="Helvetica" w:hAnsi="Helvetica"/>
          <w:i/>
          <w:color w:val="2B2B2B"/>
          <w:sz w:val="20"/>
        </w:rPr>
        <w:t>Table 2 — Year-over-year movements.</w:t>
      </w:r>
    </w:p>
    <w:p>
      <w:pPr>
        <w:spacing w:after="140" w:before="0"/>
        <w:jc w:val="left"/>
      </w:pPr>
      <w:r>
        <w:rPr>
          <w:rFonts w:ascii="Helvetica" w:hAnsi="Helvetica"/>
          <w:b w:val="0"/>
          <w:i w:val="0"/>
          <w:color w:val="2B2B2B"/>
          <w:sz w:val="21"/>
        </w:rPr>
        <w:t>Revenue for FY2025 was $69.1M, or $69,146,302.56 to the dollar, compared with prior-year revenue of $64.1M ($64,106,153.02) — revenue growth of 7.9%. Gross profit was $20.7M against $19.5M in FY2024, growth of 6.4%. Gross margin was 30.0% for the year, compared with a prior-year gross margin of 30.4%, a change of -0.4 points.</w:t>
      </w:r>
    </w:p>
    <w:p>
      <w:pPr>
        <w:spacing w:after="140" w:before="0"/>
        <w:jc w:val="left"/>
      </w:pPr>
      <w:r>
        <w:rPr>
          <w:rFonts w:ascii="Helvetica" w:hAnsi="Helvetica"/>
          <w:b w:val="0"/>
          <w:i w:val="0"/>
          <w:color w:val="2B2B2B"/>
          <w:sz w:val="21"/>
        </w:rPr>
        <w:t>Because gross profit grew more slowly than revenue, the margin outcome is the central story of the year. Cost of goods sold was $48.4M in FY2025, up from $44.6M in FY2024. The 0.4-point decline is small in percentage terms but meaningful in dollars across a $69.1M revenue base, and it is the measure management is most directly accountable for in FY2026.</w:t>
      </w:r>
    </w:p>
    <w:p>
      <w:pPr>
        <w:spacing w:after="140" w:before="0"/>
        <w:jc w:val="left"/>
      </w:pPr>
      <w:r>
        <w:rPr>
          <w:rFonts w:ascii="Helvetica" w:hAnsi="Helvetica"/>
          <w:b w:val="0"/>
          <w:i w:val="0"/>
          <w:color w:val="2B2B2B"/>
          <w:sz w:val="21"/>
        </w:rPr>
        <w:t>Order volume grew 4.7%, from 6,071 orders to 6,358. Revenue growth of 7.9% therefore outpaced order growth of 4.7%, meaning average revenue per order rose year over year. That is a favourable mix signal: the business grew both by serving more orders and by earning more from each one.</w:t>
      </w:r>
    </w:p>
    <w:p>
      <w:pPr>
        <w:keepNext/>
        <w:spacing w:before="120" w:after="0"/>
        <w:jc w:val="center"/>
      </w:pPr>
      <w:r>
        <w:drawing>
          <wp:inline xmlns:a="http://schemas.openxmlformats.org/drawingml/2006/main" xmlns:pic="http://schemas.openxmlformats.org/drawingml/2006/picture">
            <wp:extent cx="5669280" cy="2591671"/>
            <wp:docPr id="1" name="Picture 1"/>
            <wp:cNvGraphicFramePr>
              <a:graphicFrameLocks noChangeAspect="1"/>
            </wp:cNvGraphicFramePr>
            <a:graphic>
              <a:graphicData uri="http://schemas.openxmlformats.org/drawingml/2006/picture">
                <pic:pic>
                  <pic:nvPicPr>
                    <pic:cNvPr id="0" name="chart_compare.png"/>
                    <pic:cNvPicPr/>
                  </pic:nvPicPr>
                  <pic:blipFill>
                    <a:blip r:embed="rId11"/>
                    <a:stretch>
                      <a:fillRect/>
                    </a:stretch>
                  </pic:blipFill>
                  <pic:spPr>
                    <a:xfrm>
                      <a:off x="0" y="0"/>
                      <a:ext cx="5669280" cy="2591671"/>
                    </a:xfrm>
                    <a:prstGeom prst="rect"/>
                  </pic:spPr>
                </pic:pic>
              </a:graphicData>
            </a:graphic>
          </wp:inline>
        </w:drawing>
      </w:r>
    </w:p>
    <w:p>
      <w:pPr>
        <w:spacing w:before="40" w:after="220"/>
      </w:pPr>
      <w:r>
        <w:rPr>
          <w:rFonts w:ascii="Helvetica" w:hAnsi="Helvetica"/>
          <w:i/>
          <w:color w:val="2B2B2B"/>
          <w:sz w:val="20"/>
        </w:rPr>
        <w:t>Figure 1 — Revenue and gross profit, FY2025 versus FY2024. Secondary series: FY2025; accent series: FY2024.</w:t>
      </w:r>
    </w:p>
    <w:p>
      <w:pPr>
        <w:pStyle w:val="Heading2"/>
      </w:pPr>
      <w:r>
        <w:t>Monthly revenue and gross profit</w:t>
      </w:r>
    </w:p>
    <w:p>
      <w:pPr>
        <w:spacing w:after="140" w:before="0"/>
        <w:jc w:val="left"/>
      </w:pPr>
      <w:r>
        <w:rPr>
          <w:rFonts w:ascii="Helvetica" w:hAnsi="Helvetica"/>
          <w:b w:val="0"/>
          <w:i w:val="0"/>
          <w:color w:val="2B2B2B"/>
          <w:sz w:val="21"/>
        </w:rPr>
        <w:t>FY2025 revenue was not earned evenly through the year. The table below shows reported revenue and gross profit for each month.</w:t>
      </w:r>
    </w:p>
    <w:tbl>
      <w:tblPr>
        <w:tblW w:type="auto" w:w="0"/>
        <w:jc w:val="center"/>
        <w:tblLayout w:type="fixed"/>
        <w:tblLook w:firstColumn="1" w:firstRow="1" w:lastColumn="0" w:lastRow="0" w:noHBand="0" w:noVBand="1" w:val="04A0"/>
        <w:tblBorders>
          <w:top w:val="single" w:sz="6" w:space="0" w:color="F2F4F5"/>
          <w:left w:val="single" w:sz="6" w:space="0" w:color="F2F4F5"/>
          <w:bottom w:val="single" w:sz="6" w:space="0" w:color="F2F4F5"/>
          <w:right w:val="single" w:sz="6" w:space="0" w:color="F2F4F5"/>
          <w:insideH w:val="single" w:sz="6" w:space="0" w:color="F2F4F5"/>
          <w:insideV w:val="single" w:sz="6" w:space="0" w:color="F2F4F5"/>
        </w:tblBorders>
      </w:tblPr>
      <w:tblGrid>
        <w:gridCol w:w="3168"/>
        <w:gridCol w:w="3168"/>
        <w:gridCol w:w="3168"/>
      </w:tblGrid>
      <w:tr>
        <w:trPr>
          <w:tblHeader w:val="true"/>
        </w:trPr>
        <w:tc>
          <w:tcPr>
            <w:tcW w:type="dxa" w:w="2592"/>
            <w:shd w:val="clear" w:color="auto" w:fill="F2F4F5"/>
          </w:tcPr>
          <w:p>
            <w:pPr>
              <w:spacing w:before="30" w:after="30" w:line="240" w:lineRule="auto"/>
              <w:jc w:val="left"/>
            </w:pPr>
            <w:r/>
            <w:r>
              <w:rPr>
                <w:rFonts w:ascii="Helvetica" w:hAnsi="Helvetica"/>
                <w:b/>
                <w:color w:val="0B3C5D"/>
                <w:sz w:val="20"/>
              </w:rPr>
              <w:t>Month (FY2025)</w:t>
            </w:r>
          </w:p>
        </w:tc>
        <w:tc>
          <w:tcPr>
            <w:tcW w:type="dxa" w:w="3312"/>
            <w:shd w:val="clear" w:color="auto" w:fill="F2F4F5"/>
          </w:tcPr>
          <w:p>
            <w:pPr>
              <w:spacing w:before="30" w:after="30" w:line="240" w:lineRule="auto"/>
              <w:jc w:val="right"/>
            </w:pPr>
            <w:r/>
            <w:r>
              <w:rPr>
                <w:rFonts w:ascii="Helvetica" w:hAnsi="Helvetica"/>
                <w:b/>
                <w:color w:val="0B3C5D"/>
                <w:sz w:val="20"/>
              </w:rPr>
              <w:t>Revenue</w:t>
            </w:r>
          </w:p>
        </w:tc>
        <w:tc>
          <w:tcPr>
            <w:tcW w:type="dxa" w:w="3312"/>
            <w:shd w:val="clear" w:color="auto" w:fill="F2F4F5"/>
          </w:tcPr>
          <w:p>
            <w:pPr>
              <w:spacing w:before="30" w:after="30" w:line="240" w:lineRule="auto"/>
              <w:jc w:val="right"/>
            </w:pPr>
            <w:r/>
            <w:r>
              <w:rPr>
                <w:rFonts w:ascii="Helvetica" w:hAnsi="Helvetica"/>
                <w:b/>
                <w:color w:val="0B3C5D"/>
                <w:sz w:val="20"/>
              </w:rPr>
              <w:t>Gross profit</w:t>
            </w:r>
          </w:p>
        </w:tc>
      </w:tr>
      <w:tr>
        <w:tc>
          <w:tcPr>
            <w:tcW w:type="dxa" w:w="2592"/>
          </w:tcPr>
          <w:p>
            <w:pPr>
              <w:spacing w:before="30" w:after="30" w:line="240" w:lineRule="auto"/>
              <w:jc w:val="left"/>
            </w:pPr>
            <w:r/>
            <w:r>
              <w:rPr>
                <w:rFonts w:ascii="Helvetica" w:hAnsi="Helvetica"/>
                <w:b w:val="0"/>
                <w:color w:val="2B2B2B"/>
                <w:sz w:val="20"/>
              </w:rPr>
              <w:t>January</w:t>
            </w:r>
          </w:p>
        </w:tc>
        <w:tc>
          <w:tcPr>
            <w:tcW w:type="dxa" w:w="3312"/>
          </w:tcPr>
          <w:p>
            <w:pPr>
              <w:spacing w:before="30" w:after="30" w:line="240" w:lineRule="auto"/>
              <w:jc w:val="right"/>
            </w:pPr>
            <w:r/>
            <w:r>
              <w:rPr>
                <w:rFonts w:ascii="Helvetica" w:hAnsi="Helvetica"/>
                <w:b w:val="0"/>
                <w:color w:val="2B2B2B"/>
                <w:sz w:val="20"/>
              </w:rPr>
              <w:t>$5,660,798.91</w:t>
            </w:r>
          </w:p>
        </w:tc>
        <w:tc>
          <w:tcPr>
            <w:tcW w:type="dxa" w:w="3312"/>
          </w:tcPr>
          <w:p>
            <w:pPr>
              <w:spacing w:before="30" w:after="30" w:line="240" w:lineRule="auto"/>
              <w:jc w:val="right"/>
            </w:pPr>
            <w:r/>
            <w:r>
              <w:rPr>
                <w:rFonts w:ascii="Helvetica" w:hAnsi="Helvetica"/>
                <w:b w:val="0"/>
                <w:color w:val="2B2B2B"/>
                <w:sz w:val="20"/>
              </w:rPr>
              <w:t>$1,697,658.28</w:t>
            </w:r>
          </w:p>
        </w:tc>
      </w:tr>
      <w:tr>
        <w:tc>
          <w:tcPr>
            <w:tcW w:type="dxa" w:w="2592"/>
            <w:shd w:val="clear" w:color="auto" w:fill="F2F4F5"/>
          </w:tcPr>
          <w:p>
            <w:pPr>
              <w:spacing w:before="30" w:after="30" w:line="240" w:lineRule="auto"/>
              <w:jc w:val="left"/>
            </w:pPr>
            <w:r/>
            <w:r>
              <w:rPr>
                <w:rFonts w:ascii="Helvetica" w:hAnsi="Helvetica"/>
                <w:b w:val="0"/>
                <w:color w:val="2B2B2B"/>
                <w:sz w:val="20"/>
              </w:rPr>
              <w:t>February</w:t>
            </w:r>
          </w:p>
        </w:tc>
        <w:tc>
          <w:tcPr>
            <w:tcW w:type="dxa" w:w="3312"/>
            <w:shd w:val="clear" w:color="auto" w:fill="F2F4F5"/>
          </w:tcPr>
          <w:p>
            <w:pPr>
              <w:spacing w:before="30" w:after="30" w:line="240" w:lineRule="auto"/>
              <w:jc w:val="right"/>
            </w:pPr>
            <w:r/>
            <w:r>
              <w:rPr>
                <w:rFonts w:ascii="Helvetica" w:hAnsi="Helvetica"/>
                <w:b w:val="0"/>
                <w:color w:val="2B2B2B"/>
                <w:sz w:val="20"/>
              </w:rPr>
              <w:t>$4,408,264.69</w:t>
            </w:r>
          </w:p>
        </w:tc>
        <w:tc>
          <w:tcPr>
            <w:tcW w:type="dxa" w:w="3312"/>
            <w:shd w:val="clear" w:color="auto" w:fill="F2F4F5"/>
          </w:tcPr>
          <w:p>
            <w:pPr>
              <w:spacing w:before="30" w:after="30" w:line="240" w:lineRule="auto"/>
              <w:jc w:val="right"/>
            </w:pPr>
            <w:r/>
            <w:r>
              <w:rPr>
                <w:rFonts w:ascii="Helvetica" w:hAnsi="Helvetica"/>
                <w:b w:val="0"/>
                <w:color w:val="2B2B2B"/>
                <w:sz w:val="20"/>
              </w:rPr>
              <w:t>$1,419,464.55</w:t>
            </w:r>
          </w:p>
        </w:tc>
      </w:tr>
      <w:tr>
        <w:tc>
          <w:tcPr>
            <w:tcW w:type="dxa" w:w="2592"/>
          </w:tcPr>
          <w:p>
            <w:pPr>
              <w:spacing w:before="30" w:after="30" w:line="240" w:lineRule="auto"/>
              <w:jc w:val="left"/>
            </w:pPr>
            <w:r/>
            <w:r>
              <w:rPr>
                <w:rFonts w:ascii="Helvetica" w:hAnsi="Helvetica"/>
                <w:b w:val="0"/>
                <w:color w:val="2B2B2B"/>
                <w:sz w:val="20"/>
              </w:rPr>
              <w:t>March</w:t>
            </w:r>
          </w:p>
        </w:tc>
        <w:tc>
          <w:tcPr>
            <w:tcW w:type="dxa" w:w="3312"/>
          </w:tcPr>
          <w:p>
            <w:pPr>
              <w:spacing w:before="30" w:after="30" w:line="240" w:lineRule="auto"/>
              <w:jc w:val="right"/>
            </w:pPr>
            <w:r/>
            <w:r>
              <w:rPr>
                <w:rFonts w:ascii="Helvetica" w:hAnsi="Helvetica"/>
                <w:b w:val="0"/>
                <w:color w:val="2B2B2B"/>
                <w:sz w:val="20"/>
              </w:rPr>
              <w:t>$5,234,287.17</w:t>
            </w:r>
          </w:p>
        </w:tc>
        <w:tc>
          <w:tcPr>
            <w:tcW w:type="dxa" w:w="3312"/>
          </w:tcPr>
          <w:p>
            <w:pPr>
              <w:spacing w:before="30" w:after="30" w:line="240" w:lineRule="auto"/>
              <w:jc w:val="right"/>
            </w:pPr>
            <w:r/>
            <w:r>
              <w:rPr>
                <w:rFonts w:ascii="Helvetica" w:hAnsi="Helvetica"/>
                <w:b w:val="0"/>
                <w:color w:val="2B2B2B"/>
                <w:sz w:val="20"/>
              </w:rPr>
              <w:t>$1,596,816.46</w:t>
            </w:r>
          </w:p>
        </w:tc>
      </w:tr>
      <w:tr>
        <w:tc>
          <w:tcPr>
            <w:tcW w:type="dxa" w:w="2592"/>
            <w:shd w:val="clear" w:color="auto" w:fill="F2F4F5"/>
          </w:tcPr>
          <w:p>
            <w:pPr>
              <w:spacing w:before="30" w:after="30" w:line="240" w:lineRule="auto"/>
              <w:jc w:val="left"/>
            </w:pPr>
            <w:r/>
            <w:r>
              <w:rPr>
                <w:rFonts w:ascii="Helvetica" w:hAnsi="Helvetica"/>
                <w:b w:val="0"/>
                <w:color w:val="2B2B2B"/>
                <w:sz w:val="20"/>
              </w:rPr>
              <w:t>April</w:t>
            </w:r>
          </w:p>
        </w:tc>
        <w:tc>
          <w:tcPr>
            <w:tcW w:type="dxa" w:w="3312"/>
            <w:shd w:val="clear" w:color="auto" w:fill="F2F4F5"/>
          </w:tcPr>
          <w:p>
            <w:pPr>
              <w:spacing w:before="30" w:after="30" w:line="240" w:lineRule="auto"/>
              <w:jc w:val="right"/>
            </w:pPr>
            <w:r/>
            <w:r>
              <w:rPr>
                <w:rFonts w:ascii="Helvetica" w:hAnsi="Helvetica"/>
                <w:b w:val="0"/>
                <w:color w:val="2B2B2B"/>
                <w:sz w:val="20"/>
              </w:rPr>
              <w:t>$6,857,863.42</w:t>
            </w:r>
          </w:p>
        </w:tc>
        <w:tc>
          <w:tcPr>
            <w:tcW w:type="dxa" w:w="3312"/>
            <w:shd w:val="clear" w:color="auto" w:fill="F2F4F5"/>
          </w:tcPr>
          <w:p>
            <w:pPr>
              <w:spacing w:before="30" w:after="30" w:line="240" w:lineRule="auto"/>
              <w:jc w:val="right"/>
            </w:pPr>
            <w:r/>
            <w:r>
              <w:rPr>
                <w:rFonts w:ascii="Helvetica" w:hAnsi="Helvetica"/>
                <w:b w:val="0"/>
                <w:color w:val="2B2B2B"/>
                <w:sz w:val="20"/>
              </w:rPr>
              <w:t>$2,045,858.38</w:t>
            </w:r>
          </w:p>
        </w:tc>
      </w:tr>
      <w:tr>
        <w:tc>
          <w:tcPr>
            <w:tcW w:type="dxa" w:w="2592"/>
          </w:tcPr>
          <w:p>
            <w:pPr>
              <w:spacing w:before="30" w:after="30" w:line="240" w:lineRule="auto"/>
              <w:jc w:val="left"/>
            </w:pPr>
            <w:r/>
            <w:r>
              <w:rPr>
                <w:rFonts w:ascii="Helvetica" w:hAnsi="Helvetica"/>
                <w:b w:val="0"/>
                <w:color w:val="2B2B2B"/>
                <w:sz w:val="20"/>
              </w:rPr>
              <w:t>May</w:t>
            </w:r>
          </w:p>
        </w:tc>
        <w:tc>
          <w:tcPr>
            <w:tcW w:type="dxa" w:w="3312"/>
          </w:tcPr>
          <w:p>
            <w:pPr>
              <w:spacing w:before="30" w:after="30" w:line="240" w:lineRule="auto"/>
              <w:jc w:val="right"/>
            </w:pPr>
            <w:r/>
            <w:r>
              <w:rPr>
                <w:rFonts w:ascii="Helvetica" w:hAnsi="Helvetica"/>
                <w:b w:val="0"/>
                <w:color w:val="2B2B2B"/>
                <w:sz w:val="20"/>
              </w:rPr>
              <w:t>$4,558,071.52</w:t>
            </w:r>
          </w:p>
        </w:tc>
        <w:tc>
          <w:tcPr>
            <w:tcW w:type="dxa" w:w="3312"/>
          </w:tcPr>
          <w:p>
            <w:pPr>
              <w:spacing w:before="30" w:after="30" w:line="240" w:lineRule="auto"/>
              <w:jc w:val="right"/>
            </w:pPr>
            <w:r/>
            <w:r>
              <w:rPr>
                <w:rFonts w:ascii="Helvetica" w:hAnsi="Helvetica"/>
                <w:b w:val="0"/>
                <w:color w:val="2B2B2B"/>
                <w:sz w:val="20"/>
              </w:rPr>
              <w:t>$1,472,577.61</w:t>
            </w:r>
          </w:p>
        </w:tc>
      </w:tr>
      <w:tr>
        <w:tc>
          <w:tcPr>
            <w:tcW w:type="dxa" w:w="2592"/>
            <w:shd w:val="clear" w:color="auto" w:fill="F2F4F5"/>
          </w:tcPr>
          <w:p>
            <w:pPr>
              <w:spacing w:before="30" w:after="30" w:line="240" w:lineRule="auto"/>
              <w:jc w:val="left"/>
            </w:pPr>
            <w:r/>
            <w:r>
              <w:rPr>
                <w:rFonts w:ascii="Helvetica" w:hAnsi="Helvetica"/>
                <w:b w:val="0"/>
                <w:color w:val="2B2B2B"/>
                <w:sz w:val="20"/>
              </w:rPr>
              <w:t>June</w:t>
            </w:r>
          </w:p>
        </w:tc>
        <w:tc>
          <w:tcPr>
            <w:tcW w:type="dxa" w:w="3312"/>
            <w:shd w:val="clear" w:color="auto" w:fill="F2F4F5"/>
          </w:tcPr>
          <w:p>
            <w:pPr>
              <w:spacing w:before="30" w:after="30" w:line="240" w:lineRule="auto"/>
              <w:jc w:val="right"/>
            </w:pPr>
            <w:r/>
            <w:r>
              <w:rPr>
                <w:rFonts w:ascii="Helvetica" w:hAnsi="Helvetica"/>
                <w:b w:val="0"/>
                <w:color w:val="2B2B2B"/>
                <w:sz w:val="20"/>
              </w:rPr>
              <w:t>$4,767,230.19</w:t>
            </w:r>
          </w:p>
        </w:tc>
        <w:tc>
          <w:tcPr>
            <w:tcW w:type="dxa" w:w="3312"/>
            <w:shd w:val="clear" w:color="auto" w:fill="F2F4F5"/>
          </w:tcPr>
          <w:p>
            <w:pPr>
              <w:spacing w:before="30" w:after="30" w:line="240" w:lineRule="auto"/>
              <w:jc w:val="right"/>
            </w:pPr>
            <w:r/>
            <w:r>
              <w:rPr>
                <w:rFonts w:ascii="Helvetica" w:hAnsi="Helvetica"/>
                <w:b w:val="0"/>
                <w:color w:val="2B2B2B"/>
                <w:sz w:val="20"/>
              </w:rPr>
              <w:t>$1,520,809.66</w:t>
            </w:r>
          </w:p>
        </w:tc>
      </w:tr>
      <w:tr>
        <w:tc>
          <w:tcPr>
            <w:tcW w:type="dxa" w:w="2592"/>
          </w:tcPr>
          <w:p>
            <w:pPr>
              <w:spacing w:before="30" w:after="30" w:line="240" w:lineRule="auto"/>
              <w:jc w:val="left"/>
            </w:pPr>
            <w:r/>
            <w:r>
              <w:rPr>
                <w:rFonts w:ascii="Helvetica" w:hAnsi="Helvetica"/>
                <w:b w:val="0"/>
                <w:color w:val="2B2B2B"/>
                <w:sz w:val="20"/>
              </w:rPr>
              <w:t>July</w:t>
            </w:r>
          </w:p>
        </w:tc>
        <w:tc>
          <w:tcPr>
            <w:tcW w:type="dxa" w:w="3312"/>
          </w:tcPr>
          <w:p>
            <w:pPr>
              <w:spacing w:before="30" w:after="30" w:line="240" w:lineRule="auto"/>
              <w:jc w:val="right"/>
            </w:pPr>
            <w:r/>
            <w:r>
              <w:rPr>
                <w:rFonts w:ascii="Helvetica" w:hAnsi="Helvetica"/>
                <w:b w:val="0"/>
                <w:color w:val="2B2B2B"/>
                <w:sz w:val="20"/>
              </w:rPr>
              <w:t>$4,717,309.03</w:t>
            </w:r>
          </w:p>
        </w:tc>
        <w:tc>
          <w:tcPr>
            <w:tcW w:type="dxa" w:w="3312"/>
          </w:tcPr>
          <w:p>
            <w:pPr>
              <w:spacing w:before="30" w:after="30" w:line="240" w:lineRule="auto"/>
              <w:jc w:val="right"/>
            </w:pPr>
            <w:r/>
            <w:r>
              <w:rPr>
                <w:rFonts w:ascii="Helvetica" w:hAnsi="Helvetica"/>
                <w:b w:val="0"/>
                <w:color w:val="2B2B2B"/>
                <w:sz w:val="20"/>
              </w:rPr>
              <w:t>$1,392,763.83</w:t>
            </w:r>
          </w:p>
        </w:tc>
      </w:tr>
      <w:tr>
        <w:tc>
          <w:tcPr>
            <w:tcW w:type="dxa" w:w="2592"/>
            <w:shd w:val="clear" w:color="auto" w:fill="F2F4F5"/>
          </w:tcPr>
          <w:p>
            <w:pPr>
              <w:spacing w:before="30" w:after="30" w:line="240" w:lineRule="auto"/>
              <w:jc w:val="left"/>
            </w:pPr>
            <w:r/>
            <w:r>
              <w:rPr>
                <w:rFonts w:ascii="Helvetica" w:hAnsi="Helvetica"/>
                <w:b w:val="0"/>
                <w:color w:val="2B2B2B"/>
                <w:sz w:val="20"/>
              </w:rPr>
              <w:t>August</w:t>
            </w:r>
          </w:p>
        </w:tc>
        <w:tc>
          <w:tcPr>
            <w:tcW w:type="dxa" w:w="3312"/>
            <w:shd w:val="clear" w:color="auto" w:fill="F2F4F5"/>
          </w:tcPr>
          <w:p>
            <w:pPr>
              <w:spacing w:before="30" w:after="30" w:line="240" w:lineRule="auto"/>
              <w:jc w:val="right"/>
            </w:pPr>
            <w:r/>
            <w:r>
              <w:rPr>
                <w:rFonts w:ascii="Helvetica" w:hAnsi="Helvetica"/>
                <w:b w:val="0"/>
                <w:color w:val="2B2B2B"/>
                <w:sz w:val="20"/>
              </w:rPr>
              <w:t>$3,693,598.05</w:t>
            </w:r>
          </w:p>
        </w:tc>
        <w:tc>
          <w:tcPr>
            <w:tcW w:type="dxa" w:w="3312"/>
            <w:shd w:val="clear" w:color="auto" w:fill="F2F4F5"/>
          </w:tcPr>
          <w:p>
            <w:pPr>
              <w:spacing w:before="30" w:after="30" w:line="240" w:lineRule="auto"/>
              <w:jc w:val="right"/>
            </w:pPr>
            <w:r/>
            <w:r>
              <w:rPr>
                <w:rFonts w:ascii="Helvetica" w:hAnsi="Helvetica"/>
                <w:b w:val="0"/>
                <w:color w:val="2B2B2B"/>
                <w:sz w:val="20"/>
              </w:rPr>
              <w:t>$1,119,088.46</w:t>
            </w:r>
          </w:p>
        </w:tc>
      </w:tr>
      <w:tr>
        <w:tc>
          <w:tcPr>
            <w:tcW w:type="dxa" w:w="2592"/>
          </w:tcPr>
          <w:p>
            <w:pPr>
              <w:spacing w:before="30" w:after="30" w:line="240" w:lineRule="auto"/>
              <w:jc w:val="left"/>
            </w:pPr>
            <w:r/>
            <w:r>
              <w:rPr>
                <w:rFonts w:ascii="Helvetica" w:hAnsi="Helvetica"/>
                <w:b w:val="0"/>
                <w:color w:val="2B2B2B"/>
                <w:sz w:val="20"/>
              </w:rPr>
              <w:t>September</w:t>
            </w:r>
          </w:p>
        </w:tc>
        <w:tc>
          <w:tcPr>
            <w:tcW w:type="dxa" w:w="3312"/>
          </w:tcPr>
          <w:p>
            <w:pPr>
              <w:spacing w:before="30" w:after="30" w:line="240" w:lineRule="auto"/>
              <w:jc w:val="right"/>
            </w:pPr>
            <w:r/>
            <w:r>
              <w:rPr>
                <w:rFonts w:ascii="Helvetica" w:hAnsi="Helvetica"/>
                <w:b w:val="0"/>
                <w:color w:val="2B2B2B"/>
                <w:sz w:val="20"/>
              </w:rPr>
              <w:t>$6,576,280.41</w:t>
            </w:r>
          </w:p>
        </w:tc>
        <w:tc>
          <w:tcPr>
            <w:tcW w:type="dxa" w:w="3312"/>
          </w:tcPr>
          <w:p>
            <w:pPr>
              <w:spacing w:before="30" w:after="30" w:line="240" w:lineRule="auto"/>
              <w:jc w:val="right"/>
            </w:pPr>
            <w:r/>
            <w:r>
              <w:rPr>
                <w:rFonts w:ascii="Helvetica" w:hAnsi="Helvetica"/>
                <w:b w:val="0"/>
                <w:color w:val="2B2B2B"/>
                <w:sz w:val="20"/>
              </w:rPr>
              <w:t>$1,916,811.12</w:t>
            </w:r>
          </w:p>
        </w:tc>
      </w:tr>
      <w:tr>
        <w:tc>
          <w:tcPr>
            <w:tcW w:type="dxa" w:w="2592"/>
            <w:shd w:val="clear" w:color="auto" w:fill="F2F4F5"/>
          </w:tcPr>
          <w:p>
            <w:pPr>
              <w:spacing w:before="30" w:after="30" w:line="240" w:lineRule="auto"/>
              <w:jc w:val="left"/>
            </w:pPr>
            <w:r/>
            <w:r>
              <w:rPr>
                <w:rFonts w:ascii="Helvetica" w:hAnsi="Helvetica"/>
                <w:b w:val="0"/>
                <w:color w:val="2B2B2B"/>
                <w:sz w:val="20"/>
              </w:rPr>
              <w:t>October</w:t>
            </w:r>
          </w:p>
        </w:tc>
        <w:tc>
          <w:tcPr>
            <w:tcW w:type="dxa" w:w="3312"/>
            <w:shd w:val="clear" w:color="auto" w:fill="F2F4F5"/>
          </w:tcPr>
          <w:p>
            <w:pPr>
              <w:spacing w:before="30" w:after="30" w:line="240" w:lineRule="auto"/>
              <w:jc w:val="right"/>
            </w:pPr>
            <w:r/>
            <w:r>
              <w:rPr>
                <w:rFonts w:ascii="Helvetica" w:hAnsi="Helvetica"/>
                <w:b w:val="0"/>
                <w:color w:val="2B2B2B"/>
                <w:sz w:val="20"/>
              </w:rPr>
              <w:t>$7,979,546.15</w:t>
            </w:r>
          </w:p>
        </w:tc>
        <w:tc>
          <w:tcPr>
            <w:tcW w:type="dxa" w:w="3312"/>
            <w:shd w:val="clear" w:color="auto" w:fill="F2F4F5"/>
          </w:tcPr>
          <w:p>
            <w:pPr>
              <w:spacing w:before="30" w:after="30" w:line="240" w:lineRule="auto"/>
              <w:jc w:val="right"/>
            </w:pPr>
            <w:r/>
            <w:r>
              <w:rPr>
                <w:rFonts w:ascii="Helvetica" w:hAnsi="Helvetica"/>
                <w:b w:val="0"/>
                <w:color w:val="2B2B2B"/>
                <w:sz w:val="20"/>
              </w:rPr>
              <w:t>$2,379,098.88</w:t>
            </w:r>
          </w:p>
        </w:tc>
      </w:tr>
      <w:tr>
        <w:tc>
          <w:tcPr>
            <w:tcW w:type="dxa" w:w="2592"/>
          </w:tcPr>
          <w:p>
            <w:pPr>
              <w:spacing w:before="30" w:after="30" w:line="240" w:lineRule="auto"/>
              <w:jc w:val="left"/>
            </w:pPr>
            <w:r/>
            <w:r>
              <w:rPr>
                <w:rFonts w:ascii="Helvetica" w:hAnsi="Helvetica"/>
                <w:b w:val="0"/>
                <w:color w:val="2B2B2B"/>
                <w:sz w:val="20"/>
              </w:rPr>
              <w:t>November</w:t>
            </w:r>
          </w:p>
        </w:tc>
        <w:tc>
          <w:tcPr>
            <w:tcW w:type="dxa" w:w="3312"/>
          </w:tcPr>
          <w:p>
            <w:pPr>
              <w:spacing w:before="30" w:after="30" w:line="240" w:lineRule="auto"/>
              <w:jc w:val="right"/>
            </w:pPr>
            <w:r/>
            <w:r>
              <w:rPr>
                <w:rFonts w:ascii="Helvetica" w:hAnsi="Helvetica"/>
                <w:b w:val="0"/>
                <w:color w:val="2B2B2B"/>
                <w:sz w:val="20"/>
              </w:rPr>
              <w:t>$6,710,974.81</w:t>
            </w:r>
          </w:p>
        </w:tc>
        <w:tc>
          <w:tcPr>
            <w:tcW w:type="dxa" w:w="3312"/>
          </w:tcPr>
          <w:p>
            <w:pPr>
              <w:spacing w:before="30" w:after="30" w:line="240" w:lineRule="auto"/>
              <w:jc w:val="right"/>
            </w:pPr>
            <w:r/>
            <w:r>
              <w:rPr>
                <w:rFonts w:ascii="Helvetica" w:hAnsi="Helvetica"/>
                <w:b w:val="0"/>
                <w:color w:val="2B2B2B"/>
                <w:sz w:val="20"/>
              </w:rPr>
              <w:t>$1,945,670.78</w:t>
            </w:r>
          </w:p>
        </w:tc>
      </w:tr>
      <w:tr>
        <w:tc>
          <w:tcPr>
            <w:tcW w:type="dxa" w:w="2592"/>
            <w:shd w:val="clear" w:color="auto" w:fill="F2F4F5"/>
          </w:tcPr>
          <w:p>
            <w:pPr>
              <w:spacing w:before="30" w:after="30" w:line="240" w:lineRule="auto"/>
              <w:jc w:val="left"/>
            </w:pPr>
            <w:r/>
            <w:r>
              <w:rPr>
                <w:rFonts w:ascii="Helvetica" w:hAnsi="Helvetica"/>
                <w:b w:val="0"/>
                <w:color w:val="2B2B2B"/>
                <w:sz w:val="20"/>
              </w:rPr>
              <w:t>December</w:t>
            </w:r>
          </w:p>
        </w:tc>
        <w:tc>
          <w:tcPr>
            <w:tcW w:type="dxa" w:w="3312"/>
            <w:shd w:val="clear" w:color="auto" w:fill="F2F4F5"/>
          </w:tcPr>
          <w:p>
            <w:pPr>
              <w:spacing w:before="30" w:after="30" w:line="240" w:lineRule="auto"/>
              <w:jc w:val="right"/>
            </w:pPr>
            <w:r/>
            <w:r>
              <w:rPr>
                <w:rFonts w:ascii="Helvetica" w:hAnsi="Helvetica"/>
                <w:b w:val="0"/>
                <w:color w:val="2B2B2B"/>
                <w:sz w:val="20"/>
              </w:rPr>
              <w:t>$7,982,078.21</w:t>
            </w:r>
          </w:p>
        </w:tc>
        <w:tc>
          <w:tcPr>
            <w:tcW w:type="dxa" w:w="3312"/>
            <w:shd w:val="clear" w:color="auto" w:fill="F2F4F5"/>
          </w:tcPr>
          <w:p>
            <w:pPr>
              <w:spacing w:before="30" w:after="30" w:line="240" w:lineRule="auto"/>
              <w:jc w:val="right"/>
            </w:pPr>
            <w:r/>
            <w:r>
              <w:rPr>
                <w:rFonts w:ascii="Helvetica" w:hAnsi="Helvetica"/>
                <w:b w:val="0"/>
                <w:color w:val="2B2B2B"/>
                <w:sz w:val="20"/>
              </w:rPr>
              <w:t>$2,226,533.72</w:t>
            </w:r>
          </w:p>
        </w:tc>
      </w:tr>
    </w:tbl>
    <w:p>
      <w:pPr>
        <w:spacing w:before="40" w:after="220"/>
      </w:pPr>
      <w:r>
        <w:rPr>
          <w:rFonts w:ascii="Helvetica" w:hAnsi="Helvetica"/>
          <w:i/>
          <w:color w:val="2B2B2B"/>
          <w:sz w:val="20"/>
        </w:rPr>
        <w:t>Table 3 — Monthly revenue and gross profit, FY2025.</w:t>
      </w:r>
    </w:p>
    <w:p>
      <w:pPr>
        <w:keepNext/>
        <w:spacing w:before="120" w:after="0"/>
        <w:jc w:val="center"/>
      </w:pPr>
      <w:r>
        <w:drawing>
          <wp:inline xmlns:a="http://schemas.openxmlformats.org/drawingml/2006/main" xmlns:pic="http://schemas.openxmlformats.org/drawingml/2006/picture">
            <wp:extent cx="5669280" cy="2672661"/>
            <wp:docPr id="2" name="Picture 2"/>
            <wp:cNvGraphicFramePr>
              <a:graphicFrameLocks noChangeAspect="1"/>
            </wp:cNvGraphicFramePr>
            <a:graphic>
              <a:graphicData uri="http://schemas.openxmlformats.org/drawingml/2006/picture">
                <pic:pic>
                  <pic:nvPicPr>
                    <pic:cNvPr id="0" name="chart_monthly.png"/>
                    <pic:cNvPicPr/>
                  </pic:nvPicPr>
                  <pic:blipFill>
                    <a:blip r:embed="rId12"/>
                    <a:stretch>
                      <a:fillRect/>
                    </a:stretch>
                  </pic:blipFill>
                  <pic:spPr>
                    <a:xfrm>
                      <a:off x="0" y="0"/>
                      <a:ext cx="5669280" cy="2672661"/>
                    </a:xfrm>
                    <a:prstGeom prst="rect"/>
                  </pic:spPr>
                </pic:pic>
              </a:graphicData>
            </a:graphic>
          </wp:inline>
        </w:drawing>
      </w:r>
    </w:p>
    <w:p>
      <w:pPr>
        <w:spacing w:before="40" w:after="220"/>
      </w:pPr>
      <w:r>
        <w:rPr>
          <w:rFonts w:ascii="Helvetica" w:hAnsi="Helvetica"/>
          <w:i/>
          <w:color w:val="2B2B2B"/>
          <w:sz w:val="20"/>
        </w:rPr>
        <w:t>Figure 2 — Monthly revenue and gross profit, FY2025. Secondary series: revenue; accent series: gross profit.</w:t>
      </w:r>
    </w:p>
    <w:p>
      <w:pPr>
        <w:spacing w:after="140" w:before="0"/>
        <w:jc w:val="left"/>
      </w:pPr>
      <w:r>
        <w:rPr>
          <w:rFonts w:ascii="Helvetica" w:hAnsi="Helvetica"/>
          <w:b w:val="0"/>
          <w:i w:val="0"/>
          <w:color w:val="2B2B2B"/>
          <w:sz w:val="21"/>
        </w:rPr>
        <w:t>December was the largest revenue month at $7,982,078.21, with October a very close second at $7,979,546.15. April was third at $6,857,863.42, followed by November at $6,710,974.81 and September at $6,576,280.41. At the other end, August was the weakest month at $3,693,598.05, with February ($4,408,264.69) and May ($4,558,071.52) also below the annual run rate.</w:t>
      </w:r>
    </w:p>
    <w:p>
      <w:pPr>
        <w:spacing w:after="140" w:before="0"/>
        <w:jc w:val="left"/>
      </w:pPr>
      <w:r>
        <w:rPr>
          <w:rFonts w:ascii="Helvetica" w:hAnsi="Helvetica"/>
          <w:b w:val="0"/>
          <w:i w:val="0"/>
          <w:color w:val="2B2B2B"/>
          <w:sz w:val="21"/>
        </w:rPr>
        <w:t>Gross profit tracked revenue month by month: October contributed the highest gross profit at $2,379,098.88, December $2,226,533.72 and April $2,045,858.38, while August contributed the lowest at $1,119,088.46. The fourth quarter was strong on both lines, consistent with the seasonal pattern of industrial and office supply purchasing as customers close out calendar-year budgets.</w:t>
      </w:r>
    </w:p>
    <w:p>
      <w:r>
        <w:br w:type="page"/>
      </w:r>
    </w:p>
    <w:p>
      <w:pPr>
        <w:pStyle w:val="Heading1"/>
      </w:pPr>
      <w:r>
        <w:t>Category performance</w:t>
      </w:r>
    </w:p>
    <w:p>
      <w:pPr>
        <w:spacing w:after="140" w:before="0"/>
        <w:jc w:val="left"/>
      </w:pPr>
      <w:r>
        <w:rPr>
          <w:rFonts w:ascii="Helvetica" w:hAnsi="Helvetica"/>
          <w:b w:val="0"/>
          <w:i w:val="0"/>
          <w:color w:val="2B2B2B"/>
          <w:sz w:val="21"/>
        </w:rPr>
        <w:t>Acme Co sells across ten product categories. The largest category by a wide margin is Material Handling, which generated $38,734,228.05 in FY2025 — 56.0% of total revenue. The full category mix is set out below.</w:t>
      </w:r>
    </w:p>
    <w:tbl>
      <w:tblPr>
        <w:tblW w:type="auto" w:w="0"/>
        <w:jc w:val="center"/>
        <w:tblLayout w:type="fixed"/>
        <w:tblLook w:firstColumn="1" w:firstRow="1" w:lastColumn="0" w:lastRow="0" w:noHBand="0" w:noVBand="1" w:val="04A0"/>
        <w:tblBorders>
          <w:top w:val="single" w:sz="6" w:space="0" w:color="F2F4F5"/>
          <w:left w:val="single" w:sz="6" w:space="0" w:color="F2F4F5"/>
          <w:bottom w:val="single" w:sz="6" w:space="0" w:color="F2F4F5"/>
          <w:right w:val="single" w:sz="6" w:space="0" w:color="F2F4F5"/>
          <w:insideH w:val="single" w:sz="6" w:space="0" w:color="F2F4F5"/>
          <w:insideV w:val="single" w:sz="6" w:space="0" w:color="F2F4F5"/>
        </w:tblBorders>
      </w:tblPr>
      <w:tblGrid>
        <w:gridCol w:w="3168"/>
        <w:gridCol w:w="3168"/>
        <w:gridCol w:w="3168"/>
      </w:tblGrid>
      <w:tr>
        <w:trPr>
          <w:tblHeader w:val="true"/>
        </w:trPr>
        <w:tc>
          <w:tcPr>
            <w:tcW w:type="dxa" w:w="3168"/>
            <w:shd w:val="clear" w:color="auto" w:fill="F2F4F5"/>
          </w:tcPr>
          <w:p>
            <w:pPr>
              <w:spacing w:before="30" w:after="30" w:line="240" w:lineRule="auto"/>
              <w:jc w:val="left"/>
            </w:pPr>
            <w:r/>
            <w:r>
              <w:rPr>
                <w:rFonts w:ascii="Helvetica" w:hAnsi="Helvetica"/>
                <w:b/>
                <w:color w:val="0B3C5D"/>
                <w:sz w:val="20"/>
              </w:rPr>
              <w:t>Category</w:t>
            </w:r>
          </w:p>
        </w:tc>
        <w:tc>
          <w:tcPr>
            <w:tcW w:type="dxa" w:w="3312"/>
            <w:shd w:val="clear" w:color="auto" w:fill="F2F4F5"/>
          </w:tcPr>
          <w:p>
            <w:pPr>
              <w:spacing w:before="30" w:after="30" w:line="240" w:lineRule="auto"/>
              <w:jc w:val="right"/>
            </w:pPr>
            <w:r/>
            <w:r>
              <w:rPr>
                <w:rFonts w:ascii="Helvetica" w:hAnsi="Helvetica"/>
                <w:b/>
                <w:color w:val="0B3C5D"/>
                <w:sz w:val="20"/>
              </w:rPr>
              <w:t>FY2025 revenue</w:t>
            </w:r>
          </w:p>
        </w:tc>
        <w:tc>
          <w:tcPr>
            <w:tcW w:type="dxa" w:w="2736"/>
            <w:shd w:val="clear" w:color="auto" w:fill="F2F4F5"/>
          </w:tcPr>
          <w:p>
            <w:pPr>
              <w:spacing w:before="30" w:after="30" w:line="240" w:lineRule="auto"/>
              <w:jc w:val="right"/>
            </w:pPr>
            <w:r/>
            <w:r>
              <w:rPr>
                <w:rFonts w:ascii="Helvetica" w:hAnsi="Helvetica"/>
                <w:b/>
                <w:color w:val="0B3C5D"/>
                <w:sz w:val="20"/>
              </w:rPr>
              <w:t>Share of revenue</w:t>
            </w:r>
          </w:p>
        </w:tc>
      </w:tr>
      <w:tr>
        <w:tc>
          <w:tcPr>
            <w:tcW w:type="dxa" w:w="3168"/>
          </w:tcPr>
          <w:p>
            <w:pPr>
              <w:spacing w:before="30" w:after="30" w:line="240" w:lineRule="auto"/>
              <w:jc w:val="left"/>
            </w:pPr>
            <w:r/>
            <w:r>
              <w:rPr>
                <w:rFonts w:ascii="Helvetica" w:hAnsi="Helvetica"/>
                <w:b w:val="0"/>
                <w:color w:val="2B2B2B"/>
                <w:sz w:val="20"/>
              </w:rPr>
              <w:t>Material Handling</w:t>
            </w:r>
          </w:p>
        </w:tc>
        <w:tc>
          <w:tcPr>
            <w:tcW w:type="dxa" w:w="3312"/>
          </w:tcPr>
          <w:p>
            <w:pPr>
              <w:spacing w:before="30" w:after="30" w:line="240" w:lineRule="auto"/>
              <w:jc w:val="right"/>
            </w:pPr>
            <w:r/>
            <w:r>
              <w:rPr>
                <w:rFonts w:ascii="Helvetica" w:hAnsi="Helvetica"/>
                <w:b w:val="0"/>
                <w:color w:val="2B2B2B"/>
                <w:sz w:val="20"/>
              </w:rPr>
              <w:t>$38,734,228.05</w:t>
            </w:r>
          </w:p>
        </w:tc>
        <w:tc>
          <w:tcPr>
            <w:tcW w:type="dxa" w:w="2736"/>
          </w:tcPr>
          <w:p>
            <w:pPr>
              <w:spacing w:before="30" w:after="30" w:line="240" w:lineRule="auto"/>
              <w:jc w:val="right"/>
            </w:pPr>
            <w:r/>
            <w:r>
              <w:rPr>
                <w:rFonts w:ascii="Helvetica" w:hAnsi="Helvetica"/>
                <w:b w:val="0"/>
                <w:color w:val="2B2B2B"/>
                <w:sz w:val="20"/>
              </w:rPr>
              <w:t>56.0%</w:t>
            </w:r>
          </w:p>
        </w:tc>
      </w:tr>
      <w:tr>
        <w:tc>
          <w:tcPr>
            <w:tcW w:type="dxa" w:w="3168"/>
            <w:shd w:val="clear" w:color="auto" w:fill="F2F4F5"/>
          </w:tcPr>
          <w:p>
            <w:pPr>
              <w:spacing w:before="30" w:after="30" w:line="240" w:lineRule="auto"/>
              <w:jc w:val="left"/>
            </w:pPr>
            <w:r/>
            <w:r>
              <w:rPr>
                <w:rFonts w:ascii="Helvetica" w:hAnsi="Helvetica"/>
                <w:b w:val="0"/>
                <w:color w:val="2B2B2B"/>
                <w:sz w:val="20"/>
              </w:rPr>
              <w:t>Electrical</w:t>
            </w:r>
          </w:p>
        </w:tc>
        <w:tc>
          <w:tcPr>
            <w:tcW w:type="dxa" w:w="3312"/>
            <w:shd w:val="clear" w:color="auto" w:fill="F2F4F5"/>
          </w:tcPr>
          <w:p>
            <w:pPr>
              <w:spacing w:before="30" w:after="30" w:line="240" w:lineRule="auto"/>
              <w:jc w:val="right"/>
            </w:pPr>
            <w:r/>
            <w:r>
              <w:rPr>
                <w:rFonts w:ascii="Helvetica" w:hAnsi="Helvetica"/>
                <w:b w:val="0"/>
                <w:color w:val="2B2B2B"/>
                <w:sz w:val="20"/>
              </w:rPr>
              <w:t>$12,203,595.88</w:t>
            </w:r>
          </w:p>
        </w:tc>
        <w:tc>
          <w:tcPr>
            <w:tcW w:type="dxa" w:w="2736"/>
            <w:shd w:val="clear" w:color="auto" w:fill="F2F4F5"/>
          </w:tcPr>
          <w:p>
            <w:pPr>
              <w:spacing w:before="30" w:after="30" w:line="240" w:lineRule="auto"/>
              <w:jc w:val="right"/>
            </w:pPr>
            <w:r/>
            <w:r>
              <w:rPr>
                <w:rFonts w:ascii="Helvetica" w:hAnsi="Helvetica"/>
                <w:b w:val="0"/>
                <w:color w:val="2B2B2B"/>
                <w:sz w:val="20"/>
              </w:rPr>
              <w:t>17.6%</w:t>
            </w:r>
          </w:p>
        </w:tc>
      </w:tr>
      <w:tr>
        <w:tc>
          <w:tcPr>
            <w:tcW w:type="dxa" w:w="3168"/>
          </w:tcPr>
          <w:p>
            <w:pPr>
              <w:spacing w:before="30" w:after="30" w:line="240" w:lineRule="auto"/>
              <w:jc w:val="left"/>
            </w:pPr>
            <w:r/>
            <w:r>
              <w:rPr>
                <w:rFonts w:ascii="Helvetica" w:hAnsi="Helvetica"/>
                <w:b w:val="0"/>
                <w:color w:val="2B2B2B"/>
                <w:sz w:val="20"/>
              </w:rPr>
              <w:t>Packaging</w:t>
            </w:r>
          </w:p>
        </w:tc>
        <w:tc>
          <w:tcPr>
            <w:tcW w:type="dxa" w:w="3312"/>
          </w:tcPr>
          <w:p>
            <w:pPr>
              <w:spacing w:before="30" w:after="30" w:line="240" w:lineRule="auto"/>
              <w:jc w:val="right"/>
            </w:pPr>
            <w:r/>
            <w:r>
              <w:rPr>
                <w:rFonts w:ascii="Helvetica" w:hAnsi="Helvetica"/>
                <w:b w:val="0"/>
                <w:color w:val="2B2B2B"/>
                <w:sz w:val="20"/>
              </w:rPr>
              <w:t>$4,425,870.55</w:t>
            </w:r>
          </w:p>
        </w:tc>
        <w:tc>
          <w:tcPr>
            <w:tcW w:type="dxa" w:w="2736"/>
          </w:tcPr>
          <w:p>
            <w:pPr>
              <w:spacing w:before="30" w:after="30" w:line="240" w:lineRule="auto"/>
              <w:jc w:val="right"/>
            </w:pPr>
            <w:r/>
            <w:r>
              <w:rPr>
                <w:rFonts w:ascii="Helvetica" w:hAnsi="Helvetica"/>
                <w:b w:val="0"/>
                <w:color w:val="2B2B2B"/>
                <w:sz w:val="20"/>
              </w:rPr>
              <w:t>6.4%</w:t>
            </w:r>
          </w:p>
        </w:tc>
      </w:tr>
      <w:tr>
        <w:tc>
          <w:tcPr>
            <w:tcW w:type="dxa" w:w="3168"/>
            <w:shd w:val="clear" w:color="auto" w:fill="F2F4F5"/>
          </w:tcPr>
          <w:p>
            <w:pPr>
              <w:spacing w:before="30" w:after="30" w:line="240" w:lineRule="auto"/>
              <w:jc w:val="left"/>
            </w:pPr>
            <w:r/>
            <w:r>
              <w:rPr>
                <w:rFonts w:ascii="Helvetica" w:hAnsi="Helvetica"/>
                <w:b w:val="0"/>
                <w:color w:val="2B2B2B"/>
                <w:sz w:val="20"/>
              </w:rPr>
              <w:t>Tools</w:t>
            </w:r>
          </w:p>
        </w:tc>
        <w:tc>
          <w:tcPr>
            <w:tcW w:type="dxa" w:w="3312"/>
            <w:shd w:val="clear" w:color="auto" w:fill="F2F4F5"/>
          </w:tcPr>
          <w:p>
            <w:pPr>
              <w:spacing w:before="30" w:after="30" w:line="240" w:lineRule="auto"/>
              <w:jc w:val="right"/>
            </w:pPr>
            <w:r/>
            <w:r>
              <w:rPr>
                <w:rFonts w:ascii="Helvetica" w:hAnsi="Helvetica"/>
                <w:b w:val="0"/>
                <w:color w:val="2B2B2B"/>
                <w:sz w:val="20"/>
              </w:rPr>
              <w:t>$3,755,547.27</w:t>
            </w:r>
          </w:p>
        </w:tc>
        <w:tc>
          <w:tcPr>
            <w:tcW w:type="dxa" w:w="2736"/>
            <w:shd w:val="clear" w:color="auto" w:fill="F2F4F5"/>
          </w:tcPr>
          <w:p>
            <w:pPr>
              <w:spacing w:before="30" w:after="30" w:line="240" w:lineRule="auto"/>
              <w:jc w:val="right"/>
            </w:pPr>
            <w:r/>
            <w:r>
              <w:rPr>
                <w:rFonts w:ascii="Helvetica" w:hAnsi="Helvetica"/>
                <w:b w:val="0"/>
                <w:color w:val="2B2B2B"/>
                <w:sz w:val="20"/>
              </w:rPr>
              <w:t>5.4%</w:t>
            </w:r>
          </w:p>
        </w:tc>
      </w:tr>
      <w:tr>
        <w:tc>
          <w:tcPr>
            <w:tcW w:type="dxa" w:w="3168"/>
          </w:tcPr>
          <w:p>
            <w:pPr>
              <w:spacing w:before="30" w:after="30" w:line="240" w:lineRule="auto"/>
              <w:jc w:val="left"/>
            </w:pPr>
            <w:r/>
            <w:r>
              <w:rPr>
                <w:rFonts w:ascii="Helvetica" w:hAnsi="Helvetica"/>
                <w:b w:val="0"/>
                <w:color w:val="2B2B2B"/>
                <w:sz w:val="20"/>
              </w:rPr>
              <w:t>Safety &amp; PPE</w:t>
            </w:r>
          </w:p>
        </w:tc>
        <w:tc>
          <w:tcPr>
            <w:tcW w:type="dxa" w:w="3312"/>
          </w:tcPr>
          <w:p>
            <w:pPr>
              <w:spacing w:before="30" w:after="30" w:line="240" w:lineRule="auto"/>
              <w:jc w:val="right"/>
            </w:pPr>
            <w:r/>
            <w:r>
              <w:rPr>
                <w:rFonts w:ascii="Helvetica" w:hAnsi="Helvetica"/>
                <w:b w:val="0"/>
                <w:color w:val="2B2B2B"/>
                <w:sz w:val="20"/>
              </w:rPr>
              <w:t>$2,914,085.72</w:t>
            </w:r>
          </w:p>
        </w:tc>
        <w:tc>
          <w:tcPr>
            <w:tcW w:type="dxa" w:w="2736"/>
          </w:tcPr>
          <w:p>
            <w:pPr>
              <w:spacing w:before="30" w:after="30" w:line="240" w:lineRule="auto"/>
              <w:jc w:val="right"/>
            </w:pPr>
            <w:r/>
            <w:r>
              <w:rPr>
                <w:rFonts w:ascii="Helvetica" w:hAnsi="Helvetica"/>
                <w:b w:val="0"/>
                <w:color w:val="2B2B2B"/>
                <w:sz w:val="20"/>
              </w:rPr>
              <w:t>4.2%</w:t>
            </w:r>
          </w:p>
        </w:tc>
      </w:tr>
      <w:tr>
        <w:tc>
          <w:tcPr>
            <w:tcW w:type="dxa" w:w="3168"/>
            <w:shd w:val="clear" w:color="auto" w:fill="F2F4F5"/>
          </w:tcPr>
          <w:p>
            <w:pPr>
              <w:spacing w:before="30" w:after="30" w:line="240" w:lineRule="auto"/>
              <w:jc w:val="left"/>
            </w:pPr>
            <w:r/>
            <w:r>
              <w:rPr>
                <w:rFonts w:ascii="Helvetica" w:hAnsi="Helvetica"/>
                <w:b w:val="0"/>
                <w:color w:val="2B2B2B"/>
                <w:sz w:val="20"/>
              </w:rPr>
              <w:t>Janitorial</w:t>
            </w:r>
          </w:p>
        </w:tc>
        <w:tc>
          <w:tcPr>
            <w:tcW w:type="dxa" w:w="3312"/>
            <w:shd w:val="clear" w:color="auto" w:fill="F2F4F5"/>
          </w:tcPr>
          <w:p>
            <w:pPr>
              <w:spacing w:before="30" w:after="30" w:line="240" w:lineRule="auto"/>
              <w:jc w:val="right"/>
            </w:pPr>
            <w:r/>
            <w:r>
              <w:rPr>
                <w:rFonts w:ascii="Helvetica" w:hAnsi="Helvetica"/>
                <w:b w:val="0"/>
                <w:color w:val="2B2B2B"/>
                <w:sz w:val="20"/>
              </w:rPr>
              <w:t>$2,541,723.64</w:t>
            </w:r>
          </w:p>
        </w:tc>
        <w:tc>
          <w:tcPr>
            <w:tcW w:type="dxa" w:w="2736"/>
            <w:shd w:val="clear" w:color="auto" w:fill="F2F4F5"/>
          </w:tcPr>
          <w:p>
            <w:pPr>
              <w:spacing w:before="30" w:after="30" w:line="240" w:lineRule="auto"/>
              <w:jc w:val="right"/>
            </w:pPr>
            <w:r/>
            <w:r>
              <w:rPr>
                <w:rFonts w:ascii="Helvetica" w:hAnsi="Helvetica"/>
                <w:b w:val="0"/>
                <w:color w:val="2B2B2B"/>
                <w:sz w:val="20"/>
              </w:rPr>
              <w:t>3.7%</w:t>
            </w:r>
          </w:p>
        </w:tc>
      </w:tr>
      <w:tr>
        <w:tc>
          <w:tcPr>
            <w:tcW w:type="dxa" w:w="3168"/>
          </w:tcPr>
          <w:p>
            <w:pPr>
              <w:spacing w:before="30" w:after="30" w:line="240" w:lineRule="auto"/>
              <w:jc w:val="left"/>
            </w:pPr>
            <w:r/>
            <w:r>
              <w:rPr>
                <w:rFonts w:ascii="Helvetica" w:hAnsi="Helvetica"/>
                <w:b w:val="0"/>
                <w:color w:val="2B2B2B"/>
                <w:sz w:val="20"/>
              </w:rPr>
              <w:t>Office Supplies</w:t>
            </w:r>
          </w:p>
        </w:tc>
        <w:tc>
          <w:tcPr>
            <w:tcW w:type="dxa" w:w="3312"/>
          </w:tcPr>
          <w:p>
            <w:pPr>
              <w:spacing w:before="30" w:after="30" w:line="240" w:lineRule="auto"/>
              <w:jc w:val="right"/>
            </w:pPr>
            <w:r/>
            <w:r>
              <w:rPr>
                <w:rFonts w:ascii="Helvetica" w:hAnsi="Helvetica"/>
                <w:b w:val="0"/>
                <w:color w:val="2B2B2B"/>
                <w:sz w:val="20"/>
              </w:rPr>
              <w:t>$1,512,964.36</w:t>
            </w:r>
          </w:p>
        </w:tc>
        <w:tc>
          <w:tcPr>
            <w:tcW w:type="dxa" w:w="2736"/>
          </w:tcPr>
          <w:p>
            <w:pPr>
              <w:spacing w:before="30" w:after="30" w:line="240" w:lineRule="auto"/>
              <w:jc w:val="right"/>
            </w:pPr>
            <w:r/>
            <w:r>
              <w:rPr>
                <w:rFonts w:ascii="Helvetica" w:hAnsi="Helvetica"/>
                <w:b w:val="0"/>
                <w:color w:val="2B2B2B"/>
                <w:sz w:val="20"/>
              </w:rPr>
              <w:t>2.2%</w:t>
            </w:r>
          </w:p>
        </w:tc>
      </w:tr>
      <w:tr>
        <w:tc>
          <w:tcPr>
            <w:tcW w:type="dxa" w:w="3168"/>
            <w:shd w:val="clear" w:color="auto" w:fill="F2F4F5"/>
          </w:tcPr>
          <w:p>
            <w:pPr>
              <w:spacing w:before="30" w:after="30" w:line="240" w:lineRule="auto"/>
              <w:jc w:val="left"/>
            </w:pPr>
            <w:r/>
            <w:r>
              <w:rPr>
                <w:rFonts w:ascii="Helvetica" w:hAnsi="Helvetica"/>
                <w:b w:val="0"/>
                <w:color w:val="2B2B2B"/>
                <w:sz w:val="20"/>
              </w:rPr>
              <w:t>Abrasives</w:t>
            </w:r>
          </w:p>
        </w:tc>
        <w:tc>
          <w:tcPr>
            <w:tcW w:type="dxa" w:w="3312"/>
            <w:shd w:val="clear" w:color="auto" w:fill="F2F4F5"/>
          </w:tcPr>
          <w:p>
            <w:pPr>
              <w:spacing w:before="30" w:after="30" w:line="240" w:lineRule="auto"/>
              <w:jc w:val="right"/>
            </w:pPr>
            <w:r/>
            <w:r>
              <w:rPr>
                <w:rFonts w:ascii="Helvetica" w:hAnsi="Helvetica"/>
                <w:b w:val="0"/>
                <w:color w:val="2B2B2B"/>
                <w:sz w:val="20"/>
              </w:rPr>
              <w:t>$1,309,985.75</w:t>
            </w:r>
          </w:p>
        </w:tc>
        <w:tc>
          <w:tcPr>
            <w:tcW w:type="dxa" w:w="2736"/>
            <w:shd w:val="clear" w:color="auto" w:fill="F2F4F5"/>
          </w:tcPr>
          <w:p>
            <w:pPr>
              <w:spacing w:before="30" w:after="30" w:line="240" w:lineRule="auto"/>
              <w:jc w:val="right"/>
            </w:pPr>
            <w:r/>
            <w:r>
              <w:rPr>
                <w:rFonts w:ascii="Helvetica" w:hAnsi="Helvetica"/>
                <w:b w:val="0"/>
                <w:color w:val="2B2B2B"/>
                <w:sz w:val="20"/>
              </w:rPr>
              <w:t>1.9%</w:t>
            </w:r>
          </w:p>
        </w:tc>
      </w:tr>
      <w:tr>
        <w:tc>
          <w:tcPr>
            <w:tcW w:type="dxa" w:w="3168"/>
          </w:tcPr>
          <w:p>
            <w:pPr>
              <w:spacing w:before="30" w:after="30" w:line="240" w:lineRule="auto"/>
              <w:jc w:val="left"/>
            </w:pPr>
            <w:r/>
            <w:r>
              <w:rPr>
                <w:rFonts w:ascii="Helvetica" w:hAnsi="Helvetica"/>
                <w:b w:val="0"/>
                <w:color w:val="2B2B2B"/>
                <w:sz w:val="20"/>
              </w:rPr>
              <w:t>Fasteners</w:t>
            </w:r>
          </w:p>
        </w:tc>
        <w:tc>
          <w:tcPr>
            <w:tcW w:type="dxa" w:w="3312"/>
          </w:tcPr>
          <w:p>
            <w:pPr>
              <w:spacing w:before="30" w:after="30" w:line="240" w:lineRule="auto"/>
              <w:jc w:val="right"/>
            </w:pPr>
            <w:r/>
            <w:r>
              <w:rPr>
                <w:rFonts w:ascii="Helvetica" w:hAnsi="Helvetica"/>
                <w:b w:val="0"/>
                <w:color w:val="2B2B2B"/>
                <w:sz w:val="20"/>
              </w:rPr>
              <w:t>$1,147,869.20</w:t>
            </w:r>
          </w:p>
        </w:tc>
        <w:tc>
          <w:tcPr>
            <w:tcW w:type="dxa" w:w="2736"/>
          </w:tcPr>
          <w:p>
            <w:pPr>
              <w:spacing w:before="30" w:after="30" w:line="240" w:lineRule="auto"/>
              <w:jc w:val="right"/>
            </w:pPr>
            <w:r/>
            <w:r>
              <w:rPr>
                <w:rFonts w:ascii="Helvetica" w:hAnsi="Helvetica"/>
                <w:b w:val="0"/>
                <w:color w:val="2B2B2B"/>
                <w:sz w:val="20"/>
              </w:rPr>
              <w:t>1.7%</w:t>
            </w:r>
          </w:p>
        </w:tc>
      </w:tr>
      <w:tr>
        <w:tc>
          <w:tcPr>
            <w:tcW w:type="dxa" w:w="3168"/>
            <w:shd w:val="clear" w:color="auto" w:fill="F2F4F5"/>
          </w:tcPr>
          <w:p>
            <w:pPr>
              <w:spacing w:before="30" w:after="30" w:line="240" w:lineRule="auto"/>
              <w:jc w:val="left"/>
            </w:pPr>
            <w:r/>
            <w:r>
              <w:rPr>
                <w:rFonts w:ascii="Helvetica" w:hAnsi="Helvetica"/>
                <w:b w:val="0"/>
                <w:color w:val="2B2B2B"/>
                <w:sz w:val="20"/>
              </w:rPr>
              <w:t>Adhesives</w:t>
            </w:r>
          </w:p>
        </w:tc>
        <w:tc>
          <w:tcPr>
            <w:tcW w:type="dxa" w:w="3312"/>
            <w:shd w:val="clear" w:color="auto" w:fill="F2F4F5"/>
          </w:tcPr>
          <w:p>
            <w:pPr>
              <w:spacing w:before="30" w:after="30" w:line="240" w:lineRule="auto"/>
              <w:jc w:val="right"/>
            </w:pPr>
            <w:r/>
            <w:r>
              <w:rPr>
                <w:rFonts w:ascii="Helvetica" w:hAnsi="Helvetica"/>
                <w:b w:val="0"/>
                <w:color w:val="2B2B2B"/>
                <w:sz w:val="20"/>
              </w:rPr>
              <w:t>$600,432.14</w:t>
            </w:r>
          </w:p>
        </w:tc>
        <w:tc>
          <w:tcPr>
            <w:tcW w:type="dxa" w:w="2736"/>
            <w:shd w:val="clear" w:color="auto" w:fill="F2F4F5"/>
          </w:tcPr>
          <w:p>
            <w:pPr>
              <w:spacing w:before="30" w:after="30" w:line="240" w:lineRule="auto"/>
              <w:jc w:val="right"/>
            </w:pPr>
            <w:r/>
            <w:r>
              <w:rPr>
                <w:rFonts w:ascii="Helvetica" w:hAnsi="Helvetica"/>
                <w:b w:val="0"/>
                <w:color w:val="2B2B2B"/>
                <w:sz w:val="20"/>
              </w:rPr>
              <w:t>0.9%</w:t>
            </w:r>
          </w:p>
        </w:tc>
      </w:tr>
    </w:tbl>
    <w:p>
      <w:pPr>
        <w:spacing w:before="40" w:after="220"/>
      </w:pPr>
      <w:r>
        <w:rPr>
          <w:rFonts w:ascii="Helvetica" w:hAnsi="Helvetica"/>
          <w:i/>
          <w:color w:val="2B2B2B"/>
          <w:sz w:val="20"/>
        </w:rPr>
        <w:t>Table 4 — Category mix, FY2025.</w:t>
      </w:r>
    </w:p>
    <w:p>
      <w:pPr>
        <w:keepNext/>
        <w:spacing w:before="120" w:after="0"/>
        <w:jc w:val="center"/>
      </w:pPr>
      <w:r>
        <w:drawing>
          <wp:inline xmlns:a="http://schemas.openxmlformats.org/drawingml/2006/main" xmlns:pic="http://schemas.openxmlformats.org/drawingml/2006/picture">
            <wp:extent cx="5669280" cy="2915630"/>
            <wp:docPr id="3" name="Picture 3"/>
            <wp:cNvGraphicFramePr>
              <a:graphicFrameLocks noChangeAspect="1"/>
            </wp:cNvGraphicFramePr>
            <a:graphic>
              <a:graphicData uri="http://schemas.openxmlformats.org/drawingml/2006/picture">
                <pic:pic>
                  <pic:nvPicPr>
                    <pic:cNvPr id="0" name="chart_category.png"/>
                    <pic:cNvPicPr/>
                  </pic:nvPicPr>
                  <pic:blipFill>
                    <a:blip r:embed="rId13"/>
                    <a:stretch>
                      <a:fillRect/>
                    </a:stretch>
                  </pic:blipFill>
                  <pic:spPr>
                    <a:xfrm>
                      <a:off x="0" y="0"/>
                      <a:ext cx="5669280" cy="2915630"/>
                    </a:xfrm>
                    <a:prstGeom prst="rect"/>
                  </pic:spPr>
                </pic:pic>
              </a:graphicData>
            </a:graphic>
          </wp:inline>
        </w:drawing>
      </w:r>
    </w:p>
    <w:p>
      <w:pPr>
        <w:spacing w:before="40" w:after="220"/>
      </w:pPr>
      <w:r>
        <w:rPr>
          <w:rFonts w:ascii="Helvetica" w:hAnsi="Helvetica"/>
          <w:i/>
          <w:color w:val="2B2B2B"/>
          <w:sz w:val="20"/>
        </w:rPr>
        <w:t>Figure 3 — FY2025 revenue by category.</w:t>
      </w:r>
    </w:p>
    <w:p>
      <w:pPr>
        <w:spacing w:after="140" w:before="0"/>
        <w:jc w:val="left"/>
      </w:pPr>
      <w:r>
        <w:rPr>
          <w:rFonts w:ascii="Helvetica" w:hAnsi="Helvetica"/>
          <w:b w:val="0"/>
          <w:i w:val="0"/>
          <w:color w:val="2B2B2B"/>
          <w:sz w:val="21"/>
        </w:rPr>
        <w:t>Material Handling is the anchor of the portfolio. At $38,734,228.05 and 56.0% of revenue, it is more than three times the size of the next category and accounts for the majority of everything Acme Co sells. That is a strength in depth — it is where our sourcing relationships, stock positions and customer familiarity are deepest — but it is also the single largest concentration in the business, and we treat it as such.</w:t>
      </w:r>
    </w:p>
    <w:p>
      <w:pPr>
        <w:spacing w:after="140" w:before="0"/>
        <w:jc w:val="left"/>
      </w:pPr>
      <w:r>
        <w:rPr>
          <w:rFonts w:ascii="Helvetica" w:hAnsi="Helvetica"/>
          <w:b w:val="0"/>
          <w:i w:val="0"/>
          <w:color w:val="2B2B2B"/>
          <w:sz w:val="21"/>
        </w:rPr>
        <w:t>Electrical is the second category at $12,203,595.88, or 17.6% of revenue. Together with Material Handling it forms the core of the offer, and it is the category with the clearest adjacency to our existing industrial customer base.</w:t>
      </w:r>
    </w:p>
    <w:p>
      <w:pPr>
        <w:spacing w:after="140" w:before="0"/>
        <w:jc w:val="left"/>
      </w:pPr>
      <w:r>
        <w:rPr>
          <w:rFonts w:ascii="Helvetica" w:hAnsi="Helvetica"/>
          <w:b w:val="0"/>
          <w:i w:val="0"/>
          <w:color w:val="2B2B2B"/>
          <w:sz w:val="21"/>
        </w:rPr>
        <w:t>The remaining eight categories are smaller but collectively important to the breadth of the offer. Packaging contributed $4,425,870.55 (6.4% of revenue), Tools $3,755,547.27 (5.4%), Safety &amp; PPE $2,914,085.72 (4.2%), Janitorial $2,541,723.64 (3.7%), Office Supplies $1,512,964.36 (2.2%), Abrasives $1,309,985.75 (1.9%), Fasteners $1,147,869.20 (1.7%) and Adhesives $600,432.14 (0.9%).</w:t>
      </w:r>
    </w:p>
    <w:p>
      <w:pPr>
        <w:spacing w:after="140" w:before="0"/>
        <w:jc w:val="left"/>
      </w:pPr>
      <w:r>
        <w:rPr>
          <w:rFonts w:ascii="Helvetica" w:hAnsi="Helvetica"/>
          <w:b w:val="0"/>
          <w:i w:val="0"/>
          <w:color w:val="2B2B2B"/>
          <w:sz w:val="21"/>
        </w:rPr>
        <w:t>These smaller lines matter for a practical reason: they are what make Acme Co a one-stop supplier. A customer buying Material Handling equipment also needs Packaging, Safety &amp; PPE and Janitorial supplies, and filling those needs on the same order is part of why customers stay. They are also the categories with the most headroom to grow, because each starts from a low base relative to Material Handling.</w:t>
      </w:r>
    </w:p>
    <w:p>
      <w:pPr>
        <w:spacing w:after="140" w:before="0"/>
        <w:jc w:val="left"/>
      </w:pPr>
      <w:r>
        <w:rPr>
          <w:rFonts w:ascii="Helvetica" w:hAnsi="Helvetica"/>
          <w:b w:val="0"/>
          <w:i w:val="0"/>
          <w:color w:val="2B2B2B"/>
          <w:sz w:val="21"/>
        </w:rPr>
        <w:t>For FY2026 the category agenda is twofold: protect and grow Material Handling, where the bulk of revenue sits, and deliberately build the smaller categories so the revenue mix becomes less dependent on a single line. Progress on the second objective is the most direct way to reduce the concentration risk described later in this report.</w:t>
      </w:r>
    </w:p>
    <w:p>
      <w:r>
        <w:br w:type="page"/>
      </w:r>
    </w:p>
    <w:p>
      <w:pPr>
        <w:pStyle w:val="Heading1"/>
      </w:pPr>
      <w:r>
        <w:t>Customer and geographic performance</w:t>
      </w:r>
    </w:p>
    <w:p>
      <w:pPr>
        <w:pStyle w:val="Heading2"/>
      </w:pPr>
      <w:r>
        <w:t>Customer base</w:t>
      </w:r>
    </w:p>
    <w:p>
      <w:pPr>
        <w:spacing w:after="140" w:before="0"/>
        <w:jc w:val="left"/>
      </w:pPr>
      <w:r>
        <w:rPr>
          <w:rFonts w:ascii="Helvetica" w:hAnsi="Helvetica"/>
          <w:b w:val="0"/>
          <w:i w:val="0"/>
          <w:color w:val="2B2B2B"/>
          <w:sz w:val="21"/>
        </w:rPr>
        <w:t>Acme Co served 6,358 orders in FY2025 across a broad customer base. The twenty largest customers together accounted for 13.65% of revenue. The single largest customer, C0848 Foxglove Stores LLC, accounted for 1.34% of revenue at $926,855.96. The full top-twenty list is set out below.</w:t>
      </w:r>
    </w:p>
    <w:tbl>
      <w:tblPr>
        <w:tblW w:type="auto" w:w="0"/>
        <w:jc w:val="center"/>
        <w:tblLayout w:type="fixed"/>
        <w:tblLook w:firstColumn="1" w:firstRow="1" w:lastColumn="0" w:lastRow="0" w:noHBand="0" w:noVBand="1" w:val="04A0"/>
        <w:tblBorders>
          <w:top w:val="single" w:sz="6" w:space="0" w:color="F2F4F5"/>
          <w:left w:val="single" w:sz="6" w:space="0" w:color="F2F4F5"/>
          <w:bottom w:val="single" w:sz="6" w:space="0" w:color="F2F4F5"/>
          <w:right w:val="single" w:sz="6" w:space="0" w:color="F2F4F5"/>
          <w:insideH w:val="single" w:sz="6" w:space="0" w:color="F2F4F5"/>
          <w:insideV w:val="single" w:sz="6" w:space="0" w:color="F2F4F5"/>
        </w:tblBorders>
      </w:tblPr>
      <w:tblGrid>
        <w:gridCol w:w="1901"/>
        <w:gridCol w:w="1901"/>
        <w:gridCol w:w="1901"/>
        <w:gridCol w:w="1901"/>
        <w:gridCol w:w="1901"/>
      </w:tblGrid>
      <w:tr>
        <w:trPr>
          <w:tblHeader w:val="true"/>
        </w:trPr>
        <w:tc>
          <w:tcPr>
            <w:tcW w:type="dxa" w:w="792"/>
            <w:shd w:val="clear" w:color="auto" w:fill="F2F4F5"/>
          </w:tcPr>
          <w:p>
            <w:pPr>
              <w:spacing w:before="30" w:after="30" w:line="240" w:lineRule="auto"/>
              <w:jc w:val="center"/>
            </w:pPr>
            <w:r/>
            <w:r>
              <w:rPr>
                <w:rFonts w:ascii="Helvetica" w:hAnsi="Helvetica"/>
                <w:b/>
                <w:color w:val="0B3C5D"/>
                <w:sz w:val="20"/>
              </w:rPr>
              <w:t>Rank</w:t>
            </w:r>
          </w:p>
        </w:tc>
        <w:tc>
          <w:tcPr>
            <w:tcW w:type="dxa" w:w="1368"/>
            <w:shd w:val="clear" w:color="auto" w:fill="F2F4F5"/>
          </w:tcPr>
          <w:p>
            <w:pPr>
              <w:spacing w:before="30" w:after="30" w:line="240" w:lineRule="auto"/>
              <w:jc w:val="left"/>
            </w:pPr>
            <w:r/>
            <w:r>
              <w:rPr>
                <w:rFonts w:ascii="Helvetica" w:hAnsi="Helvetica"/>
                <w:b/>
                <w:color w:val="0B3C5D"/>
                <w:sz w:val="20"/>
              </w:rPr>
              <w:t>Customer ID</w:t>
            </w:r>
          </w:p>
        </w:tc>
        <w:tc>
          <w:tcPr>
            <w:tcW w:type="dxa" w:w="3672"/>
            <w:shd w:val="clear" w:color="auto" w:fill="F2F4F5"/>
          </w:tcPr>
          <w:p>
            <w:pPr>
              <w:spacing w:before="30" w:after="30" w:line="240" w:lineRule="auto"/>
              <w:jc w:val="left"/>
            </w:pPr>
            <w:r/>
            <w:r>
              <w:rPr>
                <w:rFonts w:ascii="Helvetica" w:hAnsi="Helvetica"/>
                <w:b/>
                <w:color w:val="0B3C5D"/>
                <w:sz w:val="20"/>
              </w:rPr>
              <w:t>Customer</w:t>
            </w:r>
          </w:p>
        </w:tc>
        <w:tc>
          <w:tcPr>
            <w:tcW w:type="dxa" w:w="1944"/>
            <w:shd w:val="clear" w:color="auto" w:fill="F2F4F5"/>
          </w:tcPr>
          <w:p>
            <w:pPr>
              <w:spacing w:before="30" w:after="30" w:line="240" w:lineRule="auto"/>
              <w:jc w:val="right"/>
            </w:pPr>
            <w:r/>
            <w:r>
              <w:rPr>
                <w:rFonts w:ascii="Helvetica" w:hAnsi="Helvetica"/>
                <w:b/>
                <w:color w:val="0B3C5D"/>
                <w:sz w:val="20"/>
              </w:rPr>
              <w:t>FY2025 revenue</w:t>
            </w:r>
          </w:p>
        </w:tc>
        <w:tc>
          <w:tcPr>
            <w:tcW w:type="dxa" w:w="1584"/>
            <w:shd w:val="clear" w:color="auto" w:fill="F2F4F5"/>
          </w:tcPr>
          <w:p>
            <w:pPr>
              <w:spacing w:before="30" w:after="30" w:line="240" w:lineRule="auto"/>
              <w:jc w:val="right"/>
            </w:pPr>
            <w:r/>
            <w:r>
              <w:rPr>
                <w:rFonts w:ascii="Helvetica" w:hAnsi="Helvetica"/>
                <w:b/>
                <w:color w:val="0B3C5D"/>
                <w:sz w:val="20"/>
              </w:rPr>
              <w:t>Share of revenue</w:t>
            </w:r>
          </w:p>
        </w:tc>
      </w:tr>
      <w:tr>
        <w:tc>
          <w:tcPr>
            <w:tcW w:type="dxa" w:w="792"/>
          </w:tcPr>
          <w:p>
            <w:pPr>
              <w:spacing w:before="30" w:after="30" w:line="240" w:lineRule="auto"/>
              <w:jc w:val="center"/>
            </w:pPr>
            <w:r/>
            <w:r>
              <w:rPr>
                <w:rFonts w:ascii="Helvetica" w:hAnsi="Helvetica"/>
                <w:b w:val="0"/>
                <w:color w:val="2B2B2B"/>
                <w:sz w:val="20"/>
              </w:rPr>
              <w:t>1</w:t>
            </w:r>
          </w:p>
        </w:tc>
        <w:tc>
          <w:tcPr>
            <w:tcW w:type="dxa" w:w="1368"/>
          </w:tcPr>
          <w:p>
            <w:pPr>
              <w:spacing w:before="30" w:after="30" w:line="240" w:lineRule="auto"/>
              <w:jc w:val="left"/>
            </w:pPr>
            <w:r/>
            <w:r>
              <w:rPr>
                <w:rFonts w:ascii="Helvetica" w:hAnsi="Helvetica"/>
                <w:b w:val="0"/>
                <w:color w:val="2B2B2B"/>
                <w:sz w:val="20"/>
              </w:rPr>
              <w:t>C0848</w:t>
            </w:r>
          </w:p>
        </w:tc>
        <w:tc>
          <w:tcPr>
            <w:tcW w:type="dxa" w:w="3672"/>
          </w:tcPr>
          <w:p>
            <w:pPr>
              <w:spacing w:before="30" w:after="30" w:line="240" w:lineRule="auto"/>
              <w:jc w:val="left"/>
            </w:pPr>
            <w:r/>
            <w:r>
              <w:rPr>
                <w:rFonts w:ascii="Helvetica" w:hAnsi="Helvetica"/>
                <w:b w:val="0"/>
                <w:color w:val="2B2B2B"/>
                <w:sz w:val="20"/>
              </w:rPr>
              <w:t>Foxglove Stores LLC</w:t>
            </w:r>
          </w:p>
        </w:tc>
        <w:tc>
          <w:tcPr>
            <w:tcW w:type="dxa" w:w="1944"/>
          </w:tcPr>
          <w:p>
            <w:pPr>
              <w:spacing w:before="30" w:after="30" w:line="240" w:lineRule="auto"/>
              <w:jc w:val="right"/>
            </w:pPr>
            <w:r/>
            <w:r>
              <w:rPr>
                <w:rFonts w:ascii="Helvetica" w:hAnsi="Helvetica"/>
                <w:b w:val="0"/>
                <w:color w:val="2B2B2B"/>
                <w:sz w:val="20"/>
              </w:rPr>
              <w:t>$926,855.96</w:t>
            </w:r>
          </w:p>
        </w:tc>
        <w:tc>
          <w:tcPr>
            <w:tcW w:type="dxa" w:w="1584"/>
          </w:tcPr>
          <w:p>
            <w:pPr>
              <w:spacing w:before="30" w:after="30" w:line="240" w:lineRule="auto"/>
              <w:jc w:val="right"/>
            </w:pPr>
            <w:r/>
            <w:r>
              <w:rPr>
                <w:rFonts w:ascii="Helvetica" w:hAnsi="Helvetica"/>
                <w:b w:val="0"/>
                <w:color w:val="2B2B2B"/>
                <w:sz w:val="20"/>
              </w:rPr>
              <w:t>1.34%</w:t>
            </w:r>
          </w:p>
        </w:tc>
      </w:tr>
      <w:tr>
        <w:tc>
          <w:tcPr>
            <w:tcW w:type="dxa" w:w="792"/>
            <w:shd w:val="clear" w:color="auto" w:fill="F2F4F5"/>
          </w:tcPr>
          <w:p>
            <w:pPr>
              <w:spacing w:before="30" w:after="30" w:line="240" w:lineRule="auto"/>
              <w:jc w:val="center"/>
            </w:pPr>
            <w:r/>
            <w:r>
              <w:rPr>
                <w:rFonts w:ascii="Helvetica" w:hAnsi="Helvetica"/>
                <w:b w:val="0"/>
                <w:color w:val="2B2B2B"/>
                <w:sz w:val="20"/>
              </w:rPr>
              <w:t>2</w:t>
            </w:r>
          </w:p>
        </w:tc>
        <w:tc>
          <w:tcPr>
            <w:tcW w:type="dxa" w:w="1368"/>
            <w:shd w:val="clear" w:color="auto" w:fill="F2F4F5"/>
          </w:tcPr>
          <w:p>
            <w:pPr>
              <w:spacing w:before="30" w:after="30" w:line="240" w:lineRule="auto"/>
              <w:jc w:val="left"/>
            </w:pPr>
            <w:r/>
            <w:r>
              <w:rPr>
                <w:rFonts w:ascii="Helvetica" w:hAnsi="Helvetica"/>
                <w:b w:val="0"/>
                <w:color w:val="2B2B2B"/>
                <w:sz w:val="20"/>
              </w:rPr>
              <w:t>C0029</w:t>
            </w:r>
          </w:p>
        </w:tc>
        <w:tc>
          <w:tcPr>
            <w:tcW w:type="dxa" w:w="3672"/>
            <w:shd w:val="clear" w:color="auto" w:fill="F2F4F5"/>
          </w:tcPr>
          <w:p>
            <w:pPr>
              <w:spacing w:before="30" w:after="30" w:line="240" w:lineRule="auto"/>
              <w:jc w:val="left"/>
            </w:pPr>
            <w:r/>
            <w:r>
              <w:rPr>
                <w:rFonts w:ascii="Helvetica" w:hAnsi="Helvetica"/>
                <w:b w:val="0"/>
                <w:color w:val="2B2B2B"/>
                <w:sz w:val="20"/>
              </w:rPr>
              <w:t>Pearl Developments Ltd.</w:t>
            </w:r>
          </w:p>
        </w:tc>
        <w:tc>
          <w:tcPr>
            <w:tcW w:type="dxa" w:w="1944"/>
            <w:shd w:val="clear" w:color="auto" w:fill="F2F4F5"/>
          </w:tcPr>
          <w:p>
            <w:pPr>
              <w:spacing w:before="30" w:after="30" w:line="240" w:lineRule="auto"/>
              <w:jc w:val="right"/>
            </w:pPr>
            <w:r/>
            <w:r>
              <w:rPr>
                <w:rFonts w:ascii="Helvetica" w:hAnsi="Helvetica"/>
                <w:b w:val="0"/>
                <w:color w:val="2B2B2B"/>
                <w:sz w:val="20"/>
              </w:rPr>
              <w:t>$749,644.27</w:t>
            </w:r>
          </w:p>
        </w:tc>
        <w:tc>
          <w:tcPr>
            <w:tcW w:type="dxa" w:w="1584"/>
            <w:shd w:val="clear" w:color="auto" w:fill="F2F4F5"/>
          </w:tcPr>
          <w:p>
            <w:pPr>
              <w:spacing w:before="30" w:after="30" w:line="240" w:lineRule="auto"/>
              <w:jc w:val="right"/>
            </w:pPr>
            <w:r/>
            <w:r>
              <w:rPr>
                <w:rFonts w:ascii="Helvetica" w:hAnsi="Helvetica"/>
                <w:b w:val="0"/>
                <w:color w:val="2B2B2B"/>
                <w:sz w:val="20"/>
              </w:rPr>
              <w:t>1.08%</w:t>
            </w:r>
          </w:p>
        </w:tc>
      </w:tr>
      <w:tr>
        <w:tc>
          <w:tcPr>
            <w:tcW w:type="dxa" w:w="792"/>
          </w:tcPr>
          <w:p>
            <w:pPr>
              <w:spacing w:before="30" w:after="30" w:line="240" w:lineRule="auto"/>
              <w:jc w:val="center"/>
            </w:pPr>
            <w:r/>
            <w:r>
              <w:rPr>
                <w:rFonts w:ascii="Helvetica" w:hAnsi="Helvetica"/>
                <w:b w:val="0"/>
                <w:color w:val="2B2B2B"/>
                <w:sz w:val="20"/>
              </w:rPr>
              <w:t>3</w:t>
            </w:r>
          </w:p>
        </w:tc>
        <w:tc>
          <w:tcPr>
            <w:tcW w:type="dxa" w:w="1368"/>
          </w:tcPr>
          <w:p>
            <w:pPr>
              <w:spacing w:before="30" w:after="30" w:line="240" w:lineRule="auto"/>
              <w:jc w:val="left"/>
            </w:pPr>
            <w:r/>
            <w:r>
              <w:rPr>
                <w:rFonts w:ascii="Helvetica" w:hAnsi="Helvetica"/>
                <w:b w:val="0"/>
                <w:color w:val="2B2B2B"/>
                <w:sz w:val="20"/>
              </w:rPr>
              <w:t>C0636</w:t>
            </w:r>
          </w:p>
        </w:tc>
        <w:tc>
          <w:tcPr>
            <w:tcW w:type="dxa" w:w="3672"/>
          </w:tcPr>
          <w:p>
            <w:pPr>
              <w:spacing w:before="30" w:after="30" w:line="240" w:lineRule="auto"/>
              <w:jc w:val="left"/>
            </w:pPr>
            <w:r/>
            <w:r>
              <w:rPr>
                <w:rFonts w:ascii="Helvetica" w:hAnsi="Helvetica"/>
                <w:b w:val="0"/>
                <w:color w:val="2B2B2B"/>
                <w:sz w:val="20"/>
              </w:rPr>
              <w:t>Granite Fabrication Ltd.</w:t>
            </w:r>
          </w:p>
        </w:tc>
        <w:tc>
          <w:tcPr>
            <w:tcW w:type="dxa" w:w="1944"/>
          </w:tcPr>
          <w:p>
            <w:pPr>
              <w:spacing w:before="30" w:after="30" w:line="240" w:lineRule="auto"/>
              <w:jc w:val="right"/>
            </w:pPr>
            <w:r/>
            <w:r>
              <w:rPr>
                <w:rFonts w:ascii="Helvetica" w:hAnsi="Helvetica"/>
                <w:b w:val="0"/>
                <w:color w:val="2B2B2B"/>
                <w:sz w:val="20"/>
              </w:rPr>
              <w:t>$704,339.72</w:t>
            </w:r>
          </w:p>
        </w:tc>
        <w:tc>
          <w:tcPr>
            <w:tcW w:type="dxa" w:w="1584"/>
          </w:tcPr>
          <w:p>
            <w:pPr>
              <w:spacing w:before="30" w:after="30" w:line="240" w:lineRule="auto"/>
              <w:jc w:val="right"/>
            </w:pPr>
            <w:r/>
            <w:r>
              <w:rPr>
                <w:rFonts w:ascii="Helvetica" w:hAnsi="Helvetica"/>
                <w:b w:val="0"/>
                <w:color w:val="2B2B2B"/>
                <w:sz w:val="20"/>
              </w:rPr>
              <w:t>1.02%</w:t>
            </w:r>
          </w:p>
        </w:tc>
      </w:tr>
      <w:tr>
        <w:tc>
          <w:tcPr>
            <w:tcW w:type="dxa" w:w="792"/>
            <w:shd w:val="clear" w:color="auto" w:fill="F2F4F5"/>
          </w:tcPr>
          <w:p>
            <w:pPr>
              <w:spacing w:before="30" w:after="30" w:line="240" w:lineRule="auto"/>
              <w:jc w:val="center"/>
            </w:pPr>
            <w:r/>
            <w:r>
              <w:rPr>
                <w:rFonts w:ascii="Helvetica" w:hAnsi="Helvetica"/>
                <w:b w:val="0"/>
                <w:color w:val="2B2B2B"/>
                <w:sz w:val="20"/>
              </w:rPr>
              <w:t>4</w:t>
            </w:r>
          </w:p>
        </w:tc>
        <w:tc>
          <w:tcPr>
            <w:tcW w:type="dxa" w:w="1368"/>
            <w:shd w:val="clear" w:color="auto" w:fill="F2F4F5"/>
          </w:tcPr>
          <w:p>
            <w:pPr>
              <w:spacing w:before="30" w:after="30" w:line="240" w:lineRule="auto"/>
              <w:jc w:val="left"/>
            </w:pPr>
            <w:r/>
            <w:r>
              <w:rPr>
                <w:rFonts w:ascii="Helvetica" w:hAnsi="Helvetica"/>
                <w:b w:val="0"/>
                <w:color w:val="2B2B2B"/>
                <w:sz w:val="20"/>
              </w:rPr>
              <w:t>C1180</w:t>
            </w:r>
          </w:p>
        </w:tc>
        <w:tc>
          <w:tcPr>
            <w:tcW w:type="dxa" w:w="3672"/>
            <w:shd w:val="clear" w:color="auto" w:fill="F2F4F5"/>
          </w:tcPr>
          <w:p>
            <w:pPr>
              <w:spacing w:before="30" w:after="30" w:line="240" w:lineRule="auto"/>
              <w:jc w:val="left"/>
            </w:pPr>
            <w:r/>
            <w:r>
              <w:rPr>
                <w:rFonts w:ascii="Helvetica" w:hAnsi="Helvetica"/>
                <w:b w:val="0"/>
                <w:color w:val="2B2B2B"/>
                <w:sz w:val="20"/>
              </w:rPr>
              <w:t>Montcalm Entreposage inc.</w:t>
            </w:r>
          </w:p>
        </w:tc>
        <w:tc>
          <w:tcPr>
            <w:tcW w:type="dxa" w:w="1944"/>
            <w:shd w:val="clear" w:color="auto" w:fill="F2F4F5"/>
          </w:tcPr>
          <w:p>
            <w:pPr>
              <w:spacing w:before="30" w:after="30" w:line="240" w:lineRule="auto"/>
              <w:jc w:val="right"/>
            </w:pPr>
            <w:r/>
            <w:r>
              <w:rPr>
                <w:rFonts w:ascii="Helvetica" w:hAnsi="Helvetica"/>
                <w:b w:val="0"/>
                <w:color w:val="2B2B2B"/>
                <w:sz w:val="20"/>
              </w:rPr>
              <w:t>$656,874.93</w:t>
            </w:r>
          </w:p>
        </w:tc>
        <w:tc>
          <w:tcPr>
            <w:tcW w:type="dxa" w:w="1584"/>
            <w:shd w:val="clear" w:color="auto" w:fill="F2F4F5"/>
          </w:tcPr>
          <w:p>
            <w:pPr>
              <w:spacing w:before="30" w:after="30" w:line="240" w:lineRule="auto"/>
              <w:jc w:val="right"/>
            </w:pPr>
            <w:r/>
            <w:r>
              <w:rPr>
                <w:rFonts w:ascii="Helvetica" w:hAnsi="Helvetica"/>
                <w:b w:val="0"/>
                <w:color w:val="2B2B2B"/>
                <w:sz w:val="20"/>
              </w:rPr>
              <w:t>0.95%</w:t>
            </w:r>
          </w:p>
        </w:tc>
      </w:tr>
      <w:tr>
        <w:tc>
          <w:tcPr>
            <w:tcW w:type="dxa" w:w="792"/>
          </w:tcPr>
          <w:p>
            <w:pPr>
              <w:spacing w:before="30" w:after="30" w:line="240" w:lineRule="auto"/>
              <w:jc w:val="center"/>
            </w:pPr>
            <w:r/>
            <w:r>
              <w:rPr>
                <w:rFonts w:ascii="Helvetica" w:hAnsi="Helvetica"/>
                <w:b w:val="0"/>
                <w:color w:val="2B2B2B"/>
                <w:sz w:val="20"/>
              </w:rPr>
              <w:t>5</w:t>
            </w:r>
          </w:p>
        </w:tc>
        <w:tc>
          <w:tcPr>
            <w:tcW w:type="dxa" w:w="1368"/>
          </w:tcPr>
          <w:p>
            <w:pPr>
              <w:spacing w:before="30" w:after="30" w:line="240" w:lineRule="auto"/>
              <w:jc w:val="left"/>
            </w:pPr>
            <w:r/>
            <w:r>
              <w:rPr>
                <w:rFonts w:ascii="Helvetica" w:hAnsi="Helvetica"/>
                <w:b w:val="0"/>
                <w:color w:val="2B2B2B"/>
                <w:sz w:val="20"/>
              </w:rPr>
              <w:t>C1186</w:t>
            </w:r>
          </w:p>
        </w:tc>
        <w:tc>
          <w:tcPr>
            <w:tcW w:type="dxa" w:w="3672"/>
          </w:tcPr>
          <w:p>
            <w:pPr>
              <w:spacing w:before="30" w:after="30" w:line="240" w:lineRule="auto"/>
              <w:jc w:val="left"/>
            </w:pPr>
            <w:r/>
            <w:r>
              <w:rPr>
                <w:rFonts w:ascii="Helvetica" w:hAnsi="Helvetica"/>
                <w:b w:val="0"/>
                <w:color w:val="2B2B2B"/>
                <w:sz w:val="20"/>
              </w:rPr>
              <w:t>Falcon Retail Group LLC</w:t>
            </w:r>
          </w:p>
        </w:tc>
        <w:tc>
          <w:tcPr>
            <w:tcW w:type="dxa" w:w="1944"/>
          </w:tcPr>
          <w:p>
            <w:pPr>
              <w:spacing w:before="30" w:after="30" w:line="240" w:lineRule="auto"/>
              <w:jc w:val="right"/>
            </w:pPr>
            <w:r/>
            <w:r>
              <w:rPr>
                <w:rFonts w:ascii="Helvetica" w:hAnsi="Helvetica"/>
                <w:b w:val="0"/>
                <w:color w:val="2B2B2B"/>
                <w:sz w:val="20"/>
              </w:rPr>
              <w:t>$543,431.33</w:t>
            </w:r>
          </w:p>
        </w:tc>
        <w:tc>
          <w:tcPr>
            <w:tcW w:type="dxa" w:w="1584"/>
          </w:tcPr>
          <w:p>
            <w:pPr>
              <w:spacing w:before="30" w:after="30" w:line="240" w:lineRule="auto"/>
              <w:jc w:val="right"/>
            </w:pPr>
            <w:r/>
            <w:r>
              <w:rPr>
                <w:rFonts w:ascii="Helvetica" w:hAnsi="Helvetica"/>
                <w:b w:val="0"/>
                <w:color w:val="2B2B2B"/>
                <w:sz w:val="20"/>
              </w:rPr>
              <w:t>0.79%</w:t>
            </w:r>
          </w:p>
        </w:tc>
      </w:tr>
      <w:tr>
        <w:tc>
          <w:tcPr>
            <w:tcW w:type="dxa" w:w="792"/>
            <w:shd w:val="clear" w:color="auto" w:fill="F2F4F5"/>
          </w:tcPr>
          <w:p>
            <w:pPr>
              <w:spacing w:before="30" w:after="30" w:line="240" w:lineRule="auto"/>
              <w:jc w:val="center"/>
            </w:pPr>
            <w:r/>
            <w:r>
              <w:rPr>
                <w:rFonts w:ascii="Helvetica" w:hAnsi="Helvetica"/>
                <w:b w:val="0"/>
                <w:color w:val="2B2B2B"/>
                <w:sz w:val="20"/>
              </w:rPr>
              <w:t>6</w:t>
            </w:r>
          </w:p>
        </w:tc>
        <w:tc>
          <w:tcPr>
            <w:tcW w:type="dxa" w:w="1368"/>
            <w:shd w:val="clear" w:color="auto" w:fill="F2F4F5"/>
          </w:tcPr>
          <w:p>
            <w:pPr>
              <w:spacing w:before="30" w:after="30" w:line="240" w:lineRule="auto"/>
              <w:jc w:val="left"/>
            </w:pPr>
            <w:r/>
            <w:r>
              <w:rPr>
                <w:rFonts w:ascii="Helvetica" w:hAnsi="Helvetica"/>
                <w:b w:val="0"/>
                <w:color w:val="2B2B2B"/>
                <w:sz w:val="20"/>
              </w:rPr>
              <w:t>C0883</w:t>
            </w:r>
          </w:p>
        </w:tc>
        <w:tc>
          <w:tcPr>
            <w:tcW w:type="dxa" w:w="3672"/>
            <w:shd w:val="clear" w:color="auto" w:fill="F2F4F5"/>
          </w:tcPr>
          <w:p>
            <w:pPr>
              <w:spacing w:before="30" w:after="30" w:line="240" w:lineRule="auto"/>
              <w:jc w:val="left"/>
            </w:pPr>
            <w:r/>
            <w:r>
              <w:rPr>
                <w:rFonts w:ascii="Helvetica" w:hAnsi="Helvetica"/>
                <w:b w:val="0"/>
                <w:color w:val="2B2B2B"/>
                <w:sz w:val="20"/>
              </w:rPr>
              <w:t>Érable Fleuve Entreposage Inc.</w:t>
            </w:r>
          </w:p>
        </w:tc>
        <w:tc>
          <w:tcPr>
            <w:tcW w:type="dxa" w:w="1944"/>
            <w:shd w:val="clear" w:color="auto" w:fill="F2F4F5"/>
          </w:tcPr>
          <w:p>
            <w:pPr>
              <w:spacing w:before="30" w:after="30" w:line="240" w:lineRule="auto"/>
              <w:jc w:val="right"/>
            </w:pPr>
            <w:r/>
            <w:r>
              <w:rPr>
                <w:rFonts w:ascii="Helvetica" w:hAnsi="Helvetica"/>
                <w:b w:val="0"/>
                <w:color w:val="2B2B2B"/>
                <w:sz w:val="20"/>
              </w:rPr>
              <w:t>$536,141.25</w:t>
            </w:r>
          </w:p>
        </w:tc>
        <w:tc>
          <w:tcPr>
            <w:tcW w:type="dxa" w:w="1584"/>
            <w:shd w:val="clear" w:color="auto" w:fill="F2F4F5"/>
          </w:tcPr>
          <w:p>
            <w:pPr>
              <w:spacing w:before="30" w:after="30" w:line="240" w:lineRule="auto"/>
              <w:jc w:val="right"/>
            </w:pPr>
            <w:r/>
            <w:r>
              <w:rPr>
                <w:rFonts w:ascii="Helvetica" w:hAnsi="Helvetica"/>
                <w:b w:val="0"/>
                <w:color w:val="2B2B2B"/>
                <w:sz w:val="20"/>
              </w:rPr>
              <w:t>0.78%</w:t>
            </w:r>
          </w:p>
        </w:tc>
      </w:tr>
      <w:tr>
        <w:tc>
          <w:tcPr>
            <w:tcW w:type="dxa" w:w="792"/>
          </w:tcPr>
          <w:p>
            <w:pPr>
              <w:spacing w:before="30" w:after="30" w:line="240" w:lineRule="auto"/>
              <w:jc w:val="center"/>
            </w:pPr>
            <w:r/>
            <w:r>
              <w:rPr>
                <w:rFonts w:ascii="Helvetica" w:hAnsi="Helvetica"/>
                <w:b w:val="0"/>
                <w:color w:val="2B2B2B"/>
                <w:sz w:val="20"/>
              </w:rPr>
              <w:t>7</w:t>
            </w:r>
          </w:p>
        </w:tc>
        <w:tc>
          <w:tcPr>
            <w:tcW w:type="dxa" w:w="1368"/>
          </w:tcPr>
          <w:p>
            <w:pPr>
              <w:spacing w:before="30" w:after="30" w:line="240" w:lineRule="auto"/>
              <w:jc w:val="left"/>
            </w:pPr>
            <w:r/>
            <w:r>
              <w:rPr>
                <w:rFonts w:ascii="Helvetica" w:hAnsi="Helvetica"/>
                <w:b w:val="0"/>
                <w:color w:val="2B2B2B"/>
                <w:sz w:val="20"/>
              </w:rPr>
              <w:t>C0198</w:t>
            </w:r>
          </w:p>
        </w:tc>
        <w:tc>
          <w:tcPr>
            <w:tcW w:type="dxa" w:w="3672"/>
          </w:tcPr>
          <w:p>
            <w:pPr>
              <w:spacing w:before="30" w:after="30" w:line="240" w:lineRule="auto"/>
              <w:jc w:val="left"/>
            </w:pPr>
            <w:r/>
            <w:r>
              <w:rPr>
                <w:rFonts w:ascii="Helvetica" w:hAnsi="Helvetica"/>
                <w:b w:val="0"/>
                <w:color w:val="2B2B2B"/>
                <w:sz w:val="20"/>
              </w:rPr>
              <w:t>Saint-Laurent Académie ltée</w:t>
            </w:r>
          </w:p>
        </w:tc>
        <w:tc>
          <w:tcPr>
            <w:tcW w:type="dxa" w:w="1944"/>
          </w:tcPr>
          <w:p>
            <w:pPr>
              <w:spacing w:before="30" w:after="30" w:line="240" w:lineRule="auto"/>
              <w:jc w:val="right"/>
            </w:pPr>
            <w:r/>
            <w:r>
              <w:rPr>
                <w:rFonts w:ascii="Helvetica" w:hAnsi="Helvetica"/>
                <w:b w:val="0"/>
                <w:color w:val="2B2B2B"/>
                <w:sz w:val="20"/>
              </w:rPr>
              <w:t>$504,668.70</w:t>
            </w:r>
          </w:p>
        </w:tc>
        <w:tc>
          <w:tcPr>
            <w:tcW w:type="dxa" w:w="1584"/>
          </w:tcPr>
          <w:p>
            <w:pPr>
              <w:spacing w:before="30" w:after="30" w:line="240" w:lineRule="auto"/>
              <w:jc w:val="right"/>
            </w:pPr>
            <w:r/>
            <w:r>
              <w:rPr>
                <w:rFonts w:ascii="Helvetica" w:hAnsi="Helvetica"/>
                <w:b w:val="0"/>
                <w:color w:val="2B2B2B"/>
                <w:sz w:val="20"/>
              </w:rPr>
              <w:t>0.73%</w:t>
            </w:r>
          </w:p>
        </w:tc>
      </w:tr>
      <w:tr>
        <w:tc>
          <w:tcPr>
            <w:tcW w:type="dxa" w:w="792"/>
            <w:shd w:val="clear" w:color="auto" w:fill="F2F4F5"/>
          </w:tcPr>
          <w:p>
            <w:pPr>
              <w:spacing w:before="30" w:after="30" w:line="240" w:lineRule="auto"/>
              <w:jc w:val="center"/>
            </w:pPr>
            <w:r/>
            <w:r>
              <w:rPr>
                <w:rFonts w:ascii="Helvetica" w:hAnsi="Helvetica"/>
                <w:b w:val="0"/>
                <w:color w:val="2B2B2B"/>
                <w:sz w:val="20"/>
              </w:rPr>
              <w:t>8</w:t>
            </w:r>
          </w:p>
        </w:tc>
        <w:tc>
          <w:tcPr>
            <w:tcW w:type="dxa" w:w="1368"/>
            <w:shd w:val="clear" w:color="auto" w:fill="F2F4F5"/>
          </w:tcPr>
          <w:p>
            <w:pPr>
              <w:spacing w:before="30" w:after="30" w:line="240" w:lineRule="auto"/>
              <w:jc w:val="left"/>
            </w:pPr>
            <w:r/>
            <w:r>
              <w:rPr>
                <w:rFonts w:ascii="Helvetica" w:hAnsi="Helvetica"/>
                <w:b w:val="0"/>
                <w:color w:val="2B2B2B"/>
                <w:sz w:val="20"/>
              </w:rPr>
              <w:t>C1985</w:t>
            </w:r>
          </w:p>
        </w:tc>
        <w:tc>
          <w:tcPr>
            <w:tcW w:type="dxa" w:w="3672"/>
            <w:shd w:val="clear" w:color="auto" w:fill="F2F4F5"/>
          </w:tcPr>
          <w:p>
            <w:pPr>
              <w:spacing w:before="30" w:after="30" w:line="240" w:lineRule="auto"/>
              <w:jc w:val="left"/>
            </w:pPr>
            <w:r/>
            <w:r>
              <w:rPr>
                <w:rFonts w:ascii="Helvetica" w:hAnsi="Helvetica"/>
                <w:b w:val="0"/>
                <w:color w:val="2B2B2B"/>
                <w:sz w:val="20"/>
              </w:rPr>
              <w:t>Al Waha Property Management LLC</w:t>
            </w:r>
          </w:p>
        </w:tc>
        <w:tc>
          <w:tcPr>
            <w:tcW w:type="dxa" w:w="1944"/>
            <w:shd w:val="clear" w:color="auto" w:fill="F2F4F5"/>
          </w:tcPr>
          <w:p>
            <w:pPr>
              <w:spacing w:before="30" w:after="30" w:line="240" w:lineRule="auto"/>
              <w:jc w:val="right"/>
            </w:pPr>
            <w:r/>
            <w:r>
              <w:rPr>
                <w:rFonts w:ascii="Helvetica" w:hAnsi="Helvetica"/>
                <w:b w:val="0"/>
                <w:color w:val="2B2B2B"/>
                <w:sz w:val="20"/>
              </w:rPr>
              <w:t>$496,286.01</w:t>
            </w:r>
          </w:p>
        </w:tc>
        <w:tc>
          <w:tcPr>
            <w:tcW w:type="dxa" w:w="1584"/>
            <w:shd w:val="clear" w:color="auto" w:fill="F2F4F5"/>
          </w:tcPr>
          <w:p>
            <w:pPr>
              <w:spacing w:before="30" w:after="30" w:line="240" w:lineRule="auto"/>
              <w:jc w:val="right"/>
            </w:pPr>
            <w:r/>
            <w:r>
              <w:rPr>
                <w:rFonts w:ascii="Helvetica" w:hAnsi="Helvetica"/>
                <w:b w:val="0"/>
                <w:color w:val="2B2B2B"/>
                <w:sz w:val="20"/>
              </w:rPr>
              <w:t>0.72%</w:t>
            </w:r>
          </w:p>
        </w:tc>
      </w:tr>
      <w:tr>
        <w:tc>
          <w:tcPr>
            <w:tcW w:type="dxa" w:w="792"/>
          </w:tcPr>
          <w:p>
            <w:pPr>
              <w:spacing w:before="30" w:after="30" w:line="240" w:lineRule="auto"/>
              <w:jc w:val="center"/>
            </w:pPr>
            <w:r/>
            <w:r>
              <w:rPr>
                <w:rFonts w:ascii="Helvetica" w:hAnsi="Helvetica"/>
                <w:b w:val="0"/>
                <w:color w:val="2B2B2B"/>
                <w:sz w:val="20"/>
              </w:rPr>
              <w:t>9</w:t>
            </w:r>
          </w:p>
        </w:tc>
        <w:tc>
          <w:tcPr>
            <w:tcW w:type="dxa" w:w="1368"/>
          </w:tcPr>
          <w:p>
            <w:pPr>
              <w:spacing w:before="30" w:after="30" w:line="240" w:lineRule="auto"/>
              <w:jc w:val="left"/>
            </w:pPr>
            <w:r/>
            <w:r>
              <w:rPr>
                <w:rFonts w:ascii="Helvetica" w:hAnsi="Helvetica"/>
                <w:b w:val="0"/>
                <w:color w:val="2B2B2B"/>
                <w:sz w:val="20"/>
              </w:rPr>
              <w:t>C0466</w:t>
            </w:r>
          </w:p>
        </w:tc>
        <w:tc>
          <w:tcPr>
            <w:tcW w:type="dxa" w:w="3672"/>
          </w:tcPr>
          <w:p>
            <w:pPr>
              <w:spacing w:before="30" w:after="30" w:line="240" w:lineRule="auto"/>
              <w:jc w:val="left"/>
            </w:pPr>
            <w:r/>
            <w:r>
              <w:rPr>
                <w:rFonts w:ascii="Helvetica" w:hAnsi="Helvetica"/>
                <w:b w:val="0"/>
                <w:color w:val="2B2B2B"/>
                <w:sz w:val="20"/>
              </w:rPr>
              <w:t>Driftwood Distribution Ltd.</w:t>
            </w:r>
          </w:p>
        </w:tc>
        <w:tc>
          <w:tcPr>
            <w:tcW w:type="dxa" w:w="1944"/>
          </w:tcPr>
          <w:p>
            <w:pPr>
              <w:spacing w:before="30" w:after="30" w:line="240" w:lineRule="auto"/>
              <w:jc w:val="right"/>
            </w:pPr>
            <w:r/>
            <w:r>
              <w:rPr>
                <w:rFonts w:ascii="Helvetica" w:hAnsi="Helvetica"/>
                <w:b w:val="0"/>
                <w:color w:val="2B2B2B"/>
                <w:sz w:val="20"/>
              </w:rPr>
              <w:t>$461,242.64</w:t>
            </w:r>
          </w:p>
        </w:tc>
        <w:tc>
          <w:tcPr>
            <w:tcW w:type="dxa" w:w="1584"/>
          </w:tcPr>
          <w:p>
            <w:pPr>
              <w:spacing w:before="30" w:after="30" w:line="240" w:lineRule="auto"/>
              <w:jc w:val="right"/>
            </w:pPr>
            <w:r/>
            <w:r>
              <w:rPr>
                <w:rFonts w:ascii="Helvetica" w:hAnsi="Helvetica"/>
                <w:b w:val="0"/>
                <w:color w:val="2B2B2B"/>
                <w:sz w:val="20"/>
              </w:rPr>
              <w:t>0.67%</w:t>
            </w:r>
          </w:p>
        </w:tc>
      </w:tr>
      <w:tr>
        <w:tc>
          <w:tcPr>
            <w:tcW w:type="dxa" w:w="792"/>
            <w:shd w:val="clear" w:color="auto" w:fill="F2F4F5"/>
          </w:tcPr>
          <w:p>
            <w:pPr>
              <w:spacing w:before="30" w:after="30" w:line="240" w:lineRule="auto"/>
              <w:jc w:val="center"/>
            </w:pPr>
            <w:r/>
            <w:r>
              <w:rPr>
                <w:rFonts w:ascii="Helvetica" w:hAnsi="Helvetica"/>
                <w:b w:val="0"/>
                <w:color w:val="2B2B2B"/>
                <w:sz w:val="20"/>
              </w:rPr>
              <w:t>10</w:t>
            </w:r>
          </w:p>
        </w:tc>
        <w:tc>
          <w:tcPr>
            <w:tcW w:type="dxa" w:w="1368"/>
            <w:shd w:val="clear" w:color="auto" w:fill="F2F4F5"/>
          </w:tcPr>
          <w:p>
            <w:pPr>
              <w:spacing w:before="30" w:after="30" w:line="240" w:lineRule="auto"/>
              <w:jc w:val="left"/>
            </w:pPr>
            <w:r/>
            <w:r>
              <w:rPr>
                <w:rFonts w:ascii="Helvetica" w:hAnsi="Helvetica"/>
                <w:b w:val="0"/>
                <w:color w:val="2B2B2B"/>
                <w:sz w:val="20"/>
              </w:rPr>
              <w:t>C0717</w:t>
            </w:r>
          </w:p>
        </w:tc>
        <w:tc>
          <w:tcPr>
            <w:tcW w:type="dxa" w:w="3672"/>
            <w:shd w:val="clear" w:color="auto" w:fill="F2F4F5"/>
          </w:tcPr>
          <w:p>
            <w:pPr>
              <w:spacing w:before="30" w:after="30" w:line="240" w:lineRule="auto"/>
              <w:jc w:val="left"/>
            </w:pPr>
            <w:r/>
            <w:r>
              <w:rPr>
                <w:rFonts w:ascii="Helvetica" w:hAnsi="Helvetica"/>
                <w:b w:val="0"/>
                <w:color w:val="2B2B2B"/>
                <w:sz w:val="20"/>
              </w:rPr>
              <w:t>Meridian Cedar Developments Ltd.</w:t>
            </w:r>
          </w:p>
        </w:tc>
        <w:tc>
          <w:tcPr>
            <w:tcW w:type="dxa" w:w="1944"/>
            <w:shd w:val="clear" w:color="auto" w:fill="F2F4F5"/>
          </w:tcPr>
          <w:p>
            <w:pPr>
              <w:spacing w:before="30" w:after="30" w:line="240" w:lineRule="auto"/>
              <w:jc w:val="right"/>
            </w:pPr>
            <w:r/>
            <w:r>
              <w:rPr>
                <w:rFonts w:ascii="Helvetica" w:hAnsi="Helvetica"/>
                <w:b w:val="0"/>
                <w:color w:val="2B2B2B"/>
                <w:sz w:val="20"/>
              </w:rPr>
              <w:t>$433,604.37</w:t>
            </w:r>
          </w:p>
        </w:tc>
        <w:tc>
          <w:tcPr>
            <w:tcW w:type="dxa" w:w="1584"/>
            <w:shd w:val="clear" w:color="auto" w:fill="F2F4F5"/>
          </w:tcPr>
          <w:p>
            <w:pPr>
              <w:spacing w:before="30" w:after="30" w:line="240" w:lineRule="auto"/>
              <w:jc w:val="right"/>
            </w:pPr>
            <w:r/>
            <w:r>
              <w:rPr>
                <w:rFonts w:ascii="Helvetica" w:hAnsi="Helvetica"/>
                <w:b w:val="0"/>
                <w:color w:val="2B2B2B"/>
                <w:sz w:val="20"/>
              </w:rPr>
              <w:t>0.63%</w:t>
            </w:r>
          </w:p>
        </w:tc>
      </w:tr>
      <w:tr>
        <w:tc>
          <w:tcPr>
            <w:tcW w:type="dxa" w:w="792"/>
          </w:tcPr>
          <w:p>
            <w:pPr>
              <w:spacing w:before="30" w:after="30" w:line="240" w:lineRule="auto"/>
              <w:jc w:val="center"/>
            </w:pPr>
            <w:r/>
            <w:r>
              <w:rPr>
                <w:rFonts w:ascii="Helvetica" w:hAnsi="Helvetica"/>
                <w:b w:val="0"/>
                <w:color w:val="2B2B2B"/>
                <w:sz w:val="20"/>
              </w:rPr>
              <w:t>11</w:t>
            </w:r>
          </w:p>
        </w:tc>
        <w:tc>
          <w:tcPr>
            <w:tcW w:type="dxa" w:w="1368"/>
          </w:tcPr>
          <w:p>
            <w:pPr>
              <w:spacing w:before="30" w:after="30" w:line="240" w:lineRule="auto"/>
              <w:jc w:val="left"/>
            </w:pPr>
            <w:r/>
            <w:r>
              <w:rPr>
                <w:rFonts w:ascii="Helvetica" w:hAnsi="Helvetica"/>
                <w:b w:val="0"/>
                <w:color w:val="2B2B2B"/>
                <w:sz w:val="20"/>
              </w:rPr>
              <w:t>C0402</w:t>
            </w:r>
          </w:p>
        </w:tc>
        <w:tc>
          <w:tcPr>
            <w:tcW w:type="dxa" w:w="3672"/>
          </w:tcPr>
          <w:p>
            <w:pPr>
              <w:spacing w:before="30" w:after="30" w:line="240" w:lineRule="auto"/>
              <w:jc w:val="left"/>
            </w:pPr>
            <w:r/>
            <w:r>
              <w:rPr>
                <w:rFonts w:ascii="Helvetica" w:hAnsi="Helvetica"/>
                <w:b w:val="0"/>
                <w:color w:val="2B2B2B"/>
                <w:sz w:val="20"/>
              </w:rPr>
              <w:t>Atlas Manufacturing Ltd.</w:t>
            </w:r>
          </w:p>
        </w:tc>
        <w:tc>
          <w:tcPr>
            <w:tcW w:type="dxa" w:w="1944"/>
          </w:tcPr>
          <w:p>
            <w:pPr>
              <w:spacing w:before="30" w:after="30" w:line="240" w:lineRule="auto"/>
              <w:jc w:val="right"/>
            </w:pPr>
            <w:r/>
            <w:r>
              <w:rPr>
                <w:rFonts w:ascii="Helvetica" w:hAnsi="Helvetica"/>
                <w:b w:val="0"/>
                <w:color w:val="2B2B2B"/>
                <w:sz w:val="20"/>
              </w:rPr>
              <w:t>$395,327.98</w:t>
            </w:r>
          </w:p>
        </w:tc>
        <w:tc>
          <w:tcPr>
            <w:tcW w:type="dxa" w:w="1584"/>
          </w:tcPr>
          <w:p>
            <w:pPr>
              <w:spacing w:before="30" w:after="30" w:line="240" w:lineRule="auto"/>
              <w:jc w:val="right"/>
            </w:pPr>
            <w:r/>
            <w:r>
              <w:rPr>
                <w:rFonts w:ascii="Helvetica" w:hAnsi="Helvetica"/>
                <w:b w:val="0"/>
                <w:color w:val="2B2B2B"/>
                <w:sz w:val="20"/>
              </w:rPr>
              <w:t>0.57%</w:t>
            </w:r>
          </w:p>
        </w:tc>
      </w:tr>
      <w:tr>
        <w:tc>
          <w:tcPr>
            <w:tcW w:type="dxa" w:w="792"/>
            <w:shd w:val="clear" w:color="auto" w:fill="F2F4F5"/>
          </w:tcPr>
          <w:p>
            <w:pPr>
              <w:spacing w:before="30" w:after="30" w:line="240" w:lineRule="auto"/>
              <w:jc w:val="center"/>
            </w:pPr>
            <w:r/>
            <w:r>
              <w:rPr>
                <w:rFonts w:ascii="Helvetica" w:hAnsi="Helvetica"/>
                <w:b w:val="0"/>
                <w:color w:val="2B2B2B"/>
                <w:sz w:val="20"/>
              </w:rPr>
              <w:t>12</w:t>
            </w:r>
          </w:p>
        </w:tc>
        <w:tc>
          <w:tcPr>
            <w:tcW w:type="dxa" w:w="1368"/>
            <w:shd w:val="clear" w:color="auto" w:fill="F2F4F5"/>
          </w:tcPr>
          <w:p>
            <w:pPr>
              <w:spacing w:before="30" w:after="30" w:line="240" w:lineRule="auto"/>
              <w:jc w:val="left"/>
            </w:pPr>
            <w:r/>
            <w:r>
              <w:rPr>
                <w:rFonts w:ascii="Helvetica" w:hAnsi="Helvetica"/>
                <w:b w:val="0"/>
                <w:color w:val="2B2B2B"/>
                <w:sz w:val="20"/>
              </w:rPr>
              <w:t>C0704</w:t>
            </w:r>
          </w:p>
        </w:tc>
        <w:tc>
          <w:tcPr>
            <w:tcW w:type="dxa" w:w="3672"/>
            <w:shd w:val="clear" w:color="auto" w:fill="F2F4F5"/>
          </w:tcPr>
          <w:p>
            <w:pPr>
              <w:spacing w:before="30" w:after="30" w:line="240" w:lineRule="auto"/>
              <w:jc w:val="left"/>
            </w:pPr>
            <w:r/>
            <w:r>
              <w:rPr>
                <w:rFonts w:ascii="Helvetica" w:hAnsi="Helvetica"/>
                <w:b w:val="0"/>
                <w:color w:val="2B2B2B"/>
                <w:sz w:val="20"/>
              </w:rPr>
              <w:t>Meridian Industries Corp.</w:t>
            </w:r>
          </w:p>
        </w:tc>
        <w:tc>
          <w:tcPr>
            <w:tcW w:type="dxa" w:w="1944"/>
            <w:shd w:val="clear" w:color="auto" w:fill="F2F4F5"/>
          </w:tcPr>
          <w:p>
            <w:pPr>
              <w:spacing w:before="30" w:after="30" w:line="240" w:lineRule="auto"/>
              <w:jc w:val="right"/>
            </w:pPr>
            <w:r/>
            <w:r>
              <w:rPr>
                <w:rFonts w:ascii="Helvetica" w:hAnsi="Helvetica"/>
                <w:b w:val="0"/>
                <w:color w:val="2B2B2B"/>
                <w:sz w:val="20"/>
              </w:rPr>
              <w:t>$368,485.48</w:t>
            </w:r>
          </w:p>
        </w:tc>
        <w:tc>
          <w:tcPr>
            <w:tcW w:type="dxa" w:w="1584"/>
            <w:shd w:val="clear" w:color="auto" w:fill="F2F4F5"/>
          </w:tcPr>
          <w:p>
            <w:pPr>
              <w:spacing w:before="30" w:after="30" w:line="240" w:lineRule="auto"/>
              <w:jc w:val="right"/>
            </w:pPr>
            <w:r/>
            <w:r>
              <w:rPr>
                <w:rFonts w:ascii="Helvetica" w:hAnsi="Helvetica"/>
                <w:b w:val="0"/>
                <w:color w:val="2B2B2B"/>
                <w:sz w:val="20"/>
              </w:rPr>
              <w:t>0.53%</w:t>
            </w:r>
          </w:p>
        </w:tc>
      </w:tr>
      <w:tr>
        <w:tc>
          <w:tcPr>
            <w:tcW w:type="dxa" w:w="792"/>
          </w:tcPr>
          <w:p>
            <w:pPr>
              <w:spacing w:before="30" w:after="30" w:line="240" w:lineRule="auto"/>
              <w:jc w:val="center"/>
            </w:pPr>
            <w:r/>
            <w:r>
              <w:rPr>
                <w:rFonts w:ascii="Helvetica" w:hAnsi="Helvetica"/>
                <w:b w:val="0"/>
                <w:color w:val="2B2B2B"/>
                <w:sz w:val="20"/>
              </w:rPr>
              <w:t>13</w:t>
            </w:r>
          </w:p>
        </w:tc>
        <w:tc>
          <w:tcPr>
            <w:tcW w:type="dxa" w:w="1368"/>
          </w:tcPr>
          <w:p>
            <w:pPr>
              <w:spacing w:before="30" w:after="30" w:line="240" w:lineRule="auto"/>
              <w:jc w:val="left"/>
            </w:pPr>
            <w:r/>
            <w:r>
              <w:rPr>
                <w:rFonts w:ascii="Helvetica" w:hAnsi="Helvetica"/>
                <w:b w:val="0"/>
                <w:color w:val="2B2B2B"/>
                <w:sz w:val="20"/>
              </w:rPr>
              <w:t>C1683</w:t>
            </w:r>
          </w:p>
        </w:tc>
        <w:tc>
          <w:tcPr>
            <w:tcW w:type="dxa" w:w="3672"/>
          </w:tcPr>
          <w:p>
            <w:pPr>
              <w:spacing w:before="30" w:after="30" w:line="240" w:lineRule="auto"/>
              <w:jc w:val="left"/>
            </w:pPr>
            <w:r/>
            <w:r>
              <w:rPr>
                <w:rFonts w:ascii="Helvetica" w:hAnsi="Helvetica"/>
                <w:b w:val="0"/>
                <w:color w:val="2B2B2B"/>
                <w:sz w:val="20"/>
              </w:rPr>
              <w:t>Westbrook Logistics LLC</w:t>
            </w:r>
          </w:p>
        </w:tc>
        <w:tc>
          <w:tcPr>
            <w:tcW w:type="dxa" w:w="1944"/>
          </w:tcPr>
          <w:p>
            <w:pPr>
              <w:spacing w:before="30" w:after="30" w:line="240" w:lineRule="auto"/>
              <w:jc w:val="right"/>
            </w:pPr>
            <w:r/>
            <w:r>
              <w:rPr>
                <w:rFonts w:ascii="Helvetica" w:hAnsi="Helvetica"/>
                <w:b w:val="0"/>
                <w:color w:val="2B2B2B"/>
                <w:sz w:val="20"/>
              </w:rPr>
              <w:t>$354,785.74</w:t>
            </w:r>
          </w:p>
        </w:tc>
        <w:tc>
          <w:tcPr>
            <w:tcW w:type="dxa" w:w="1584"/>
          </w:tcPr>
          <w:p>
            <w:pPr>
              <w:spacing w:before="30" w:after="30" w:line="240" w:lineRule="auto"/>
              <w:jc w:val="right"/>
            </w:pPr>
            <w:r/>
            <w:r>
              <w:rPr>
                <w:rFonts w:ascii="Helvetica" w:hAnsi="Helvetica"/>
                <w:b w:val="0"/>
                <w:color w:val="2B2B2B"/>
                <w:sz w:val="20"/>
              </w:rPr>
              <w:t>0.51%</w:t>
            </w:r>
          </w:p>
        </w:tc>
      </w:tr>
      <w:tr>
        <w:tc>
          <w:tcPr>
            <w:tcW w:type="dxa" w:w="792"/>
            <w:shd w:val="clear" w:color="auto" w:fill="F2F4F5"/>
          </w:tcPr>
          <w:p>
            <w:pPr>
              <w:spacing w:before="30" w:after="30" w:line="240" w:lineRule="auto"/>
              <w:jc w:val="center"/>
            </w:pPr>
            <w:r/>
            <w:r>
              <w:rPr>
                <w:rFonts w:ascii="Helvetica" w:hAnsi="Helvetica"/>
                <w:b w:val="0"/>
                <w:color w:val="2B2B2B"/>
                <w:sz w:val="20"/>
              </w:rPr>
              <w:t>14</w:t>
            </w:r>
          </w:p>
        </w:tc>
        <w:tc>
          <w:tcPr>
            <w:tcW w:type="dxa" w:w="1368"/>
            <w:shd w:val="clear" w:color="auto" w:fill="F2F4F5"/>
          </w:tcPr>
          <w:p>
            <w:pPr>
              <w:spacing w:before="30" w:after="30" w:line="240" w:lineRule="auto"/>
              <w:jc w:val="left"/>
            </w:pPr>
            <w:r/>
            <w:r>
              <w:rPr>
                <w:rFonts w:ascii="Helvetica" w:hAnsi="Helvetica"/>
                <w:b w:val="0"/>
                <w:color w:val="2B2B2B"/>
                <w:sz w:val="20"/>
              </w:rPr>
              <w:t>C0019</w:t>
            </w:r>
          </w:p>
        </w:tc>
        <w:tc>
          <w:tcPr>
            <w:tcW w:type="dxa" w:w="3672"/>
            <w:shd w:val="clear" w:color="auto" w:fill="F2F4F5"/>
          </w:tcPr>
          <w:p>
            <w:pPr>
              <w:spacing w:before="30" w:after="30" w:line="240" w:lineRule="auto"/>
              <w:jc w:val="left"/>
            </w:pPr>
            <w:r/>
            <w:r>
              <w:rPr>
                <w:rFonts w:ascii="Helvetica" w:hAnsi="Helvetica"/>
                <w:b w:val="0"/>
                <w:color w:val="2B2B2B"/>
                <w:sz w:val="20"/>
              </w:rPr>
              <w:t>Fleuve Santé ltée</w:t>
            </w:r>
          </w:p>
        </w:tc>
        <w:tc>
          <w:tcPr>
            <w:tcW w:type="dxa" w:w="1944"/>
            <w:shd w:val="clear" w:color="auto" w:fill="F2F4F5"/>
          </w:tcPr>
          <w:p>
            <w:pPr>
              <w:spacing w:before="30" w:after="30" w:line="240" w:lineRule="auto"/>
              <w:jc w:val="right"/>
            </w:pPr>
            <w:r/>
            <w:r>
              <w:rPr>
                <w:rFonts w:ascii="Helvetica" w:hAnsi="Helvetica"/>
                <w:b w:val="0"/>
                <w:color w:val="2B2B2B"/>
                <w:sz w:val="20"/>
              </w:rPr>
              <w:t>$344,984.56</w:t>
            </w:r>
          </w:p>
        </w:tc>
        <w:tc>
          <w:tcPr>
            <w:tcW w:type="dxa" w:w="1584"/>
            <w:shd w:val="clear" w:color="auto" w:fill="F2F4F5"/>
          </w:tcPr>
          <w:p>
            <w:pPr>
              <w:spacing w:before="30" w:after="30" w:line="240" w:lineRule="auto"/>
              <w:jc w:val="right"/>
            </w:pPr>
            <w:r/>
            <w:r>
              <w:rPr>
                <w:rFonts w:ascii="Helvetica" w:hAnsi="Helvetica"/>
                <w:b w:val="0"/>
                <w:color w:val="2B2B2B"/>
                <w:sz w:val="20"/>
              </w:rPr>
              <w:t>0.50%</w:t>
            </w:r>
          </w:p>
        </w:tc>
      </w:tr>
      <w:tr>
        <w:tc>
          <w:tcPr>
            <w:tcW w:type="dxa" w:w="792"/>
          </w:tcPr>
          <w:p>
            <w:pPr>
              <w:spacing w:before="30" w:after="30" w:line="240" w:lineRule="auto"/>
              <w:jc w:val="center"/>
            </w:pPr>
            <w:r/>
            <w:r>
              <w:rPr>
                <w:rFonts w:ascii="Helvetica" w:hAnsi="Helvetica"/>
                <w:b w:val="0"/>
                <w:color w:val="2B2B2B"/>
                <w:sz w:val="20"/>
              </w:rPr>
              <w:t>15</w:t>
            </w:r>
          </w:p>
        </w:tc>
        <w:tc>
          <w:tcPr>
            <w:tcW w:type="dxa" w:w="1368"/>
          </w:tcPr>
          <w:p>
            <w:pPr>
              <w:spacing w:before="30" w:after="30" w:line="240" w:lineRule="auto"/>
              <w:jc w:val="left"/>
            </w:pPr>
            <w:r/>
            <w:r>
              <w:rPr>
                <w:rFonts w:ascii="Helvetica" w:hAnsi="Helvetica"/>
                <w:b w:val="0"/>
                <w:color w:val="2B2B2B"/>
                <w:sz w:val="20"/>
              </w:rPr>
              <w:t>C1156</w:t>
            </w:r>
          </w:p>
        </w:tc>
        <w:tc>
          <w:tcPr>
            <w:tcW w:type="dxa" w:w="3672"/>
          </w:tcPr>
          <w:p>
            <w:pPr>
              <w:spacing w:before="30" w:after="30" w:line="240" w:lineRule="auto"/>
              <w:jc w:val="left"/>
            </w:pPr>
            <w:r/>
            <w:r>
              <w:rPr>
                <w:rFonts w:ascii="Helvetica" w:hAnsi="Helvetica"/>
                <w:b w:val="0"/>
                <w:color w:val="2B2B2B"/>
                <w:sz w:val="20"/>
              </w:rPr>
              <w:t>Érable Mauricie Collège Inc.</w:t>
            </w:r>
          </w:p>
        </w:tc>
        <w:tc>
          <w:tcPr>
            <w:tcW w:type="dxa" w:w="1944"/>
          </w:tcPr>
          <w:p>
            <w:pPr>
              <w:spacing w:before="30" w:after="30" w:line="240" w:lineRule="auto"/>
              <w:jc w:val="right"/>
            </w:pPr>
            <w:r/>
            <w:r>
              <w:rPr>
                <w:rFonts w:ascii="Helvetica" w:hAnsi="Helvetica"/>
                <w:b w:val="0"/>
                <w:color w:val="2B2B2B"/>
                <w:sz w:val="20"/>
              </w:rPr>
              <w:t>$339,754.87</w:t>
            </w:r>
          </w:p>
        </w:tc>
        <w:tc>
          <w:tcPr>
            <w:tcW w:type="dxa" w:w="1584"/>
          </w:tcPr>
          <w:p>
            <w:pPr>
              <w:spacing w:before="30" w:after="30" w:line="240" w:lineRule="auto"/>
              <w:jc w:val="right"/>
            </w:pPr>
            <w:r/>
            <w:r>
              <w:rPr>
                <w:rFonts w:ascii="Helvetica" w:hAnsi="Helvetica"/>
                <w:b w:val="0"/>
                <w:color w:val="2B2B2B"/>
                <w:sz w:val="20"/>
              </w:rPr>
              <w:t>0.49%</w:t>
            </w:r>
          </w:p>
        </w:tc>
      </w:tr>
      <w:tr>
        <w:tc>
          <w:tcPr>
            <w:tcW w:type="dxa" w:w="792"/>
            <w:shd w:val="clear" w:color="auto" w:fill="F2F4F5"/>
          </w:tcPr>
          <w:p>
            <w:pPr>
              <w:spacing w:before="30" w:after="30" w:line="240" w:lineRule="auto"/>
              <w:jc w:val="center"/>
            </w:pPr>
            <w:r/>
            <w:r>
              <w:rPr>
                <w:rFonts w:ascii="Helvetica" w:hAnsi="Helvetica"/>
                <w:b w:val="0"/>
                <w:color w:val="2B2B2B"/>
                <w:sz w:val="20"/>
              </w:rPr>
              <w:t>16</w:t>
            </w:r>
          </w:p>
        </w:tc>
        <w:tc>
          <w:tcPr>
            <w:tcW w:type="dxa" w:w="1368"/>
            <w:shd w:val="clear" w:color="auto" w:fill="F2F4F5"/>
          </w:tcPr>
          <w:p>
            <w:pPr>
              <w:spacing w:before="30" w:after="30" w:line="240" w:lineRule="auto"/>
              <w:jc w:val="left"/>
            </w:pPr>
            <w:r/>
            <w:r>
              <w:rPr>
                <w:rFonts w:ascii="Helvetica" w:hAnsi="Helvetica"/>
                <w:b w:val="0"/>
                <w:color w:val="2B2B2B"/>
                <w:sz w:val="20"/>
              </w:rPr>
              <w:t>C1190</w:t>
            </w:r>
          </w:p>
        </w:tc>
        <w:tc>
          <w:tcPr>
            <w:tcW w:type="dxa" w:w="3672"/>
            <w:shd w:val="clear" w:color="auto" w:fill="F2F4F5"/>
          </w:tcPr>
          <w:p>
            <w:pPr>
              <w:spacing w:before="30" w:after="30" w:line="240" w:lineRule="auto"/>
              <w:jc w:val="left"/>
            </w:pPr>
            <w:r/>
            <w:r>
              <w:rPr>
                <w:rFonts w:ascii="Helvetica" w:hAnsi="Helvetica"/>
                <w:b w:val="0"/>
                <w:color w:val="2B2B2B"/>
                <w:sz w:val="20"/>
              </w:rPr>
              <w:t>Fleuve Beauport Logistique inc.</w:t>
            </w:r>
          </w:p>
        </w:tc>
        <w:tc>
          <w:tcPr>
            <w:tcW w:type="dxa" w:w="1944"/>
            <w:shd w:val="clear" w:color="auto" w:fill="F2F4F5"/>
          </w:tcPr>
          <w:p>
            <w:pPr>
              <w:spacing w:before="30" w:after="30" w:line="240" w:lineRule="auto"/>
              <w:jc w:val="right"/>
            </w:pPr>
            <w:r/>
            <w:r>
              <w:rPr>
                <w:rFonts w:ascii="Helvetica" w:hAnsi="Helvetica"/>
                <w:b w:val="0"/>
                <w:color w:val="2B2B2B"/>
                <w:sz w:val="20"/>
              </w:rPr>
              <w:t>$332,883.86</w:t>
            </w:r>
          </w:p>
        </w:tc>
        <w:tc>
          <w:tcPr>
            <w:tcW w:type="dxa" w:w="1584"/>
            <w:shd w:val="clear" w:color="auto" w:fill="F2F4F5"/>
          </w:tcPr>
          <w:p>
            <w:pPr>
              <w:spacing w:before="30" w:after="30" w:line="240" w:lineRule="auto"/>
              <w:jc w:val="right"/>
            </w:pPr>
            <w:r/>
            <w:r>
              <w:rPr>
                <w:rFonts w:ascii="Helvetica" w:hAnsi="Helvetica"/>
                <w:b w:val="0"/>
                <w:color w:val="2B2B2B"/>
                <w:sz w:val="20"/>
              </w:rPr>
              <w:t>0.48%</w:t>
            </w:r>
          </w:p>
        </w:tc>
      </w:tr>
      <w:tr>
        <w:tc>
          <w:tcPr>
            <w:tcW w:type="dxa" w:w="792"/>
          </w:tcPr>
          <w:p>
            <w:pPr>
              <w:spacing w:before="30" w:after="30" w:line="240" w:lineRule="auto"/>
              <w:jc w:val="center"/>
            </w:pPr>
            <w:r/>
            <w:r>
              <w:rPr>
                <w:rFonts w:ascii="Helvetica" w:hAnsi="Helvetica"/>
                <w:b w:val="0"/>
                <w:color w:val="2B2B2B"/>
                <w:sz w:val="20"/>
              </w:rPr>
              <w:t>17</w:t>
            </w:r>
          </w:p>
        </w:tc>
        <w:tc>
          <w:tcPr>
            <w:tcW w:type="dxa" w:w="1368"/>
          </w:tcPr>
          <w:p>
            <w:pPr>
              <w:spacing w:before="30" w:after="30" w:line="240" w:lineRule="auto"/>
              <w:jc w:val="left"/>
            </w:pPr>
            <w:r/>
            <w:r>
              <w:rPr>
                <w:rFonts w:ascii="Helvetica" w:hAnsi="Helvetica"/>
                <w:b w:val="0"/>
                <w:color w:val="2B2B2B"/>
                <w:sz w:val="20"/>
              </w:rPr>
              <w:t>C1622</w:t>
            </w:r>
          </w:p>
        </w:tc>
        <w:tc>
          <w:tcPr>
            <w:tcW w:type="dxa" w:w="3672"/>
          </w:tcPr>
          <w:p>
            <w:pPr>
              <w:spacing w:before="30" w:after="30" w:line="240" w:lineRule="auto"/>
              <w:jc w:val="left"/>
            </w:pPr>
            <w:r/>
            <w:r>
              <w:rPr>
                <w:rFonts w:ascii="Helvetica" w:hAnsi="Helvetica"/>
                <w:b w:val="0"/>
                <w:color w:val="2B2B2B"/>
                <w:sz w:val="20"/>
              </w:rPr>
              <w:t>Bluewater Distribution Ltd.</w:t>
            </w:r>
          </w:p>
        </w:tc>
        <w:tc>
          <w:tcPr>
            <w:tcW w:type="dxa" w:w="1944"/>
          </w:tcPr>
          <w:p>
            <w:pPr>
              <w:spacing w:before="30" w:after="30" w:line="240" w:lineRule="auto"/>
              <w:jc w:val="right"/>
            </w:pPr>
            <w:r/>
            <w:r>
              <w:rPr>
                <w:rFonts w:ascii="Helvetica" w:hAnsi="Helvetica"/>
                <w:b w:val="0"/>
                <w:color w:val="2B2B2B"/>
                <w:sz w:val="20"/>
              </w:rPr>
              <w:t>$331,884.60</w:t>
            </w:r>
          </w:p>
        </w:tc>
        <w:tc>
          <w:tcPr>
            <w:tcW w:type="dxa" w:w="1584"/>
          </w:tcPr>
          <w:p>
            <w:pPr>
              <w:spacing w:before="30" w:after="30" w:line="240" w:lineRule="auto"/>
              <w:jc w:val="right"/>
            </w:pPr>
            <w:r/>
            <w:r>
              <w:rPr>
                <w:rFonts w:ascii="Helvetica" w:hAnsi="Helvetica"/>
                <w:b w:val="0"/>
                <w:color w:val="2B2B2B"/>
                <w:sz w:val="20"/>
              </w:rPr>
              <w:t>0.48%</w:t>
            </w:r>
          </w:p>
        </w:tc>
      </w:tr>
      <w:tr>
        <w:tc>
          <w:tcPr>
            <w:tcW w:type="dxa" w:w="792"/>
            <w:shd w:val="clear" w:color="auto" w:fill="F2F4F5"/>
          </w:tcPr>
          <w:p>
            <w:pPr>
              <w:spacing w:before="30" w:after="30" w:line="240" w:lineRule="auto"/>
              <w:jc w:val="center"/>
            </w:pPr>
            <w:r/>
            <w:r>
              <w:rPr>
                <w:rFonts w:ascii="Helvetica" w:hAnsi="Helvetica"/>
                <w:b w:val="0"/>
                <w:color w:val="2B2B2B"/>
                <w:sz w:val="20"/>
              </w:rPr>
              <w:t>18</w:t>
            </w:r>
          </w:p>
        </w:tc>
        <w:tc>
          <w:tcPr>
            <w:tcW w:type="dxa" w:w="1368"/>
            <w:shd w:val="clear" w:color="auto" w:fill="F2F4F5"/>
          </w:tcPr>
          <w:p>
            <w:pPr>
              <w:spacing w:before="30" w:after="30" w:line="240" w:lineRule="auto"/>
              <w:jc w:val="left"/>
            </w:pPr>
            <w:r/>
            <w:r>
              <w:rPr>
                <w:rFonts w:ascii="Helvetica" w:hAnsi="Helvetica"/>
                <w:b w:val="0"/>
                <w:color w:val="2B2B2B"/>
                <w:sz w:val="20"/>
              </w:rPr>
              <w:t>C0685</w:t>
            </w:r>
          </w:p>
        </w:tc>
        <w:tc>
          <w:tcPr>
            <w:tcW w:type="dxa" w:w="3672"/>
            <w:shd w:val="clear" w:color="auto" w:fill="F2F4F5"/>
          </w:tcPr>
          <w:p>
            <w:pPr>
              <w:spacing w:before="30" w:after="30" w:line="240" w:lineRule="auto"/>
              <w:jc w:val="left"/>
            </w:pPr>
            <w:r/>
            <w:r>
              <w:rPr>
                <w:rFonts w:ascii="Helvetica" w:hAnsi="Helvetica"/>
                <w:b w:val="0"/>
                <w:color w:val="2B2B2B"/>
                <w:sz w:val="20"/>
              </w:rPr>
              <w:t>Nimbus Distribution Corp.</w:t>
            </w:r>
          </w:p>
        </w:tc>
        <w:tc>
          <w:tcPr>
            <w:tcW w:type="dxa" w:w="1944"/>
            <w:shd w:val="clear" w:color="auto" w:fill="F2F4F5"/>
          </w:tcPr>
          <w:p>
            <w:pPr>
              <w:spacing w:before="30" w:after="30" w:line="240" w:lineRule="auto"/>
              <w:jc w:val="right"/>
            </w:pPr>
            <w:r/>
            <w:r>
              <w:rPr>
                <w:rFonts w:ascii="Helvetica" w:hAnsi="Helvetica"/>
                <w:b w:val="0"/>
                <w:color w:val="2B2B2B"/>
                <w:sz w:val="20"/>
              </w:rPr>
              <w:t>$322,878.48</w:t>
            </w:r>
          </w:p>
        </w:tc>
        <w:tc>
          <w:tcPr>
            <w:tcW w:type="dxa" w:w="1584"/>
            <w:shd w:val="clear" w:color="auto" w:fill="F2F4F5"/>
          </w:tcPr>
          <w:p>
            <w:pPr>
              <w:spacing w:before="30" w:after="30" w:line="240" w:lineRule="auto"/>
              <w:jc w:val="right"/>
            </w:pPr>
            <w:r/>
            <w:r>
              <w:rPr>
                <w:rFonts w:ascii="Helvetica" w:hAnsi="Helvetica"/>
                <w:b w:val="0"/>
                <w:color w:val="2B2B2B"/>
                <w:sz w:val="20"/>
              </w:rPr>
              <w:t>0.47%</w:t>
            </w:r>
          </w:p>
        </w:tc>
      </w:tr>
      <w:tr>
        <w:tc>
          <w:tcPr>
            <w:tcW w:type="dxa" w:w="792"/>
          </w:tcPr>
          <w:p>
            <w:pPr>
              <w:spacing w:before="30" w:after="30" w:line="240" w:lineRule="auto"/>
              <w:jc w:val="center"/>
            </w:pPr>
            <w:r/>
            <w:r>
              <w:rPr>
                <w:rFonts w:ascii="Helvetica" w:hAnsi="Helvetica"/>
                <w:b w:val="0"/>
                <w:color w:val="2B2B2B"/>
                <w:sz w:val="20"/>
              </w:rPr>
              <w:t>19</w:t>
            </w:r>
          </w:p>
        </w:tc>
        <w:tc>
          <w:tcPr>
            <w:tcW w:type="dxa" w:w="1368"/>
          </w:tcPr>
          <w:p>
            <w:pPr>
              <w:spacing w:before="30" w:after="30" w:line="240" w:lineRule="auto"/>
              <w:jc w:val="left"/>
            </w:pPr>
            <w:r/>
            <w:r>
              <w:rPr>
                <w:rFonts w:ascii="Helvetica" w:hAnsi="Helvetica"/>
                <w:b w:val="0"/>
                <w:color w:val="2B2B2B"/>
                <w:sz w:val="20"/>
              </w:rPr>
              <w:t>C0092</w:t>
            </w:r>
          </w:p>
        </w:tc>
        <w:tc>
          <w:tcPr>
            <w:tcW w:type="dxa" w:w="3672"/>
          </w:tcPr>
          <w:p>
            <w:pPr>
              <w:spacing w:before="30" w:after="30" w:line="240" w:lineRule="auto"/>
              <w:jc w:val="left"/>
            </w:pPr>
            <w:r/>
            <w:r>
              <w:rPr>
                <w:rFonts w:ascii="Helvetica" w:hAnsi="Helvetica"/>
                <w:b w:val="0"/>
                <w:color w:val="2B2B2B"/>
                <w:sz w:val="20"/>
              </w:rPr>
              <w:t>Evergreen Trading Ltd.</w:t>
            </w:r>
          </w:p>
        </w:tc>
        <w:tc>
          <w:tcPr>
            <w:tcW w:type="dxa" w:w="1944"/>
          </w:tcPr>
          <w:p>
            <w:pPr>
              <w:spacing w:before="30" w:after="30" w:line="240" w:lineRule="auto"/>
              <w:jc w:val="right"/>
            </w:pPr>
            <w:r/>
            <w:r>
              <w:rPr>
                <w:rFonts w:ascii="Helvetica" w:hAnsi="Helvetica"/>
                <w:b w:val="0"/>
                <w:color w:val="2B2B2B"/>
                <w:sz w:val="20"/>
              </w:rPr>
              <w:t>$319,419.44</w:t>
            </w:r>
          </w:p>
        </w:tc>
        <w:tc>
          <w:tcPr>
            <w:tcW w:type="dxa" w:w="1584"/>
          </w:tcPr>
          <w:p>
            <w:pPr>
              <w:spacing w:before="30" w:after="30" w:line="240" w:lineRule="auto"/>
              <w:jc w:val="right"/>
            </w:pPr>
            <w:r/>
            <w:r>
              <w:rPr>
                <w:rFonts w:ascii="Helvetica" w:hAnsi="Helvetica"/>
                <w:b w:val="0"/>
                <w:color w:val="2B2B2B"/>
                <w:sz w:val="20"/>
              </w:rPr>
              <w:t>0.46%</w:t>
            </w:r>
          </w:p>
        </w:tc>
      </w:tr>
      <w:tr>
        <w:tc>
          <w:tcPr>
            <w:tcW w:type="dxa" w:w="792"/>
            <w:shd w:val="clear" w:color="auto" w:fill="F2F4F5"/>
          </w:tcPr>
          <w:p>
            <w:pPr>
              <w:spacing w:before="30" w:after="30" w:line="240" w:lineRule="auto"/>
              <w:jc w:val="center"/>
            </w:pPr>
            <w:r/>
            <w:r>
              <w:rPr>
                <w:rFonts w:ascii="Helvetica" w:hAnsi="Helvetica"/>
                <w:b w:val="0"/>
                <w:color w:val="2B2B2B"/>
                <w:sz w:val="20"/>
              </w:rPr>
              <w:t>20</w:t>
            </w:r>
          </w:p>
        </w:tc>
        <w:tc>
          <w:tcPr>
            <w:tcW w:type="dxa" w:w="1368"/>
            <w:shd w:val="clear" w:color="auto" w:fill="F2F4F5"/>
          </w:tcPr>
          <w:p>
            <w:pPr>
              <w:spacing w:before="30" w:after="30" w:line="240" w:lineRule="auto"/>
              <w:jc w:val="left"/>
            </w:pPr>
            <w:r/>
            <w:r>
              <w:rPr>
                <w:rFonts w:ascii="Helvetica" w:hAnsi="Helvetica"/>
                <w:b w:val="0"/>
                <w:color w:val="2B2B2B"/>
                <w:sz w:val="20"/>
              </w:rPr>
              <w:t>C0419</w:t>
            </w:r>
          </w:p>
        </w:tc>
        <w:tc>
          <w:tcPr>
            <w:tcW w:type="dxa" w:w="3672"/>
            <w:shd w:val="clear" w:color="auto" w:fill="F2F4F5"/>
          </w:tcPr>
          <w:p>
            <w:pPr>
              <w:spacing w:before="30" w:after="30" w:line="240" w:lineRule="auto"/>
              <w:jc w:val="left"/>
            </w:pPr>
            <w:r/>
            <w:r>
              <w:rPr>
                <w:rFonts w:ascii="Helvetica" w:hAnsi="Helvetica"/>
                <w:b w:val="0"/>
                <w:color w:val="2B2B2B"/>
                <w:sz w:val="20"/>
              </w:rPr>
              <w:t>Stonebridge Freight Ltd.</w:t>
            </w:r>
          </w:p>
        </w:tc>
        <w:tc>
          <w:tcPr>
            <w:tcW w:type="dxa" w:w="1944"/>
            <w:shd w:val="clear" w:color="auto" w:fill="F2F4F5"/>
          </w:tcPr>
          <w:p>
            <w:pPr>
              <w:spacing w:before="30" w:after="30" w:line="240" w:lineRule="auto"/>
              <w:jc w:val="right"/>
            </w:pPr>
            <w:r/>
            <w:r>
              <w:rPr>
                <w:rFonts w:ascii="Helvetica" w:hAnsi="Helvetica"/>
                <w:b w:val="0"/>
                <w:color w:val="2B2B2B"/>
                <w:sz w:val="20"/>
              </w:rPr>
              <w:t>$314,446.85</w:t>
            </w:r>
          </w:p>
        </w:tc>
        <w:tc>
          <w:tcPr>
            <w:tcW w:type="dxa" w:w="1584"/>
            <w:shd w:val="clear" w:color="auto" w:fill="F2F4F5"/>
          </w:tcPr>
          <w:p>
            <w:pPr>
              <w:spacing w:before="30" w:after="30" w:line="240" w:lineRule="auto"/>
              <w:jc w:val="right"/>
            </w:pPr>
            <w:r/>
            <w:r>
              <w:rPr>
                <w:rFonts w:ascii="Helvetica" w:hAnsi="Helvetica"/>
                <w:b w:val="0"/>
                <w:color w:val="2B2B2B"/>
                <w:sz w:val="20"/>
              </w:rPr>
              <w:t>0.45%</w:t>
            </w:r>
          </w:p>
        </w:tc>
      </w:tr>
    </w:tbl>
    <w:p>
      <w:pPr>
        <w:spacing w:before="40" w:after="220"/>
      </w:pPr>
      <w:r>
        <w:rPr>
          <w:rFonts w:ascii="Helvetica" w:hAnsi="Helvetica"/>
          <w:i/>
          <w:color w:val="2B2B2B"/>
          <w:sz w:val="20"/>
        </w:rPr>
        <w:t>Table 5 — Top 20 customers, FY2025. Together these customers represent 13.65% of revenue.</w:t>
      </w:r>
    </w:p>
    <w:p>
      <w:pPr>
        <w:spacing w:after="140" w:before="0"/>
        <w:jc w:val="left"/>
      </w:pPr>
      <w:r>
        <w:rPr>
          <w:rFonts w:ascii="Helvetica" w:hAnsi="Helvetica"/>
          <w:b w:val="0"/>
          <w:i w:val="0"/>
          <w:color w:val="2B2B2B"/>
          <w:sz w:val="21"/>
        </w:rPr>
        <w:t>The distribution across the top twenty is flat. The largest account is 1.34% of revenue and the twentieth largest is 0.45%. There is no single customer whose loss would materially change the shape of the business, and no cluster of accounts that dominates the book. This is a deliberately diversified customer base, and it is the main reason we describe customer concentration as limited.</w:t>
      </w:r>
    </w:p>
    <w:p>
      <w:pPr>
        <w:spacing w:after="140" w:before="0"/>
        <w:jc w:val="left"/>
      </w:pPr>
      <w:r>
        <w:rPr>
          <w:rFonts w:ascii="Helvetica" w:hAnsi="Helvetica"/>
          <w:b w:val="0"/>
          <w:i w:val="0"/>
          <w:color w:val="2B2B2B"/>
          <w:sz w:val="21"/>
        </w:rPr>
        <w:t>The practical implication is that growth has to come from many accounts rather than a few. Winning and retaining a long tail of customers is more labour-intensive than managing a handful of large ones, but it produces a more resilient revenue line, and it is the model Acme Co has built.</w:t>
      </w:r>
    </w:p>
    <w:p>
      <w:pPr>
        <w:pStyle w:val="Heading2"/>
      </w:pPr>
      <w:r>
        <w:t>Geographic performance</w:t>
      </w:r>
    </w:p>
    <w:p>
      <w:pPr>
        <w:spacing w:after="140" w:before="0"/>
        <w:jc w:val="left"/>
      </w:pPr>
      <w:r>
        <w:rPr>
          <w:rFonts w:ascii="Helvetica" w:hAnsi="Helvetica"/>
          <w:b w:val="0"/>
          <w:i w:val="0"/>
          <w:color w:val="2B2B2B"/>
          <w:sz w:val="21"/>
        </w:rPr>
        <w:t>Acme Co operates from Toronto and Dubai and serves six countries. Canada is the largest market by a wide margin; the Gulf markets are served through the Dubai office.</w:t>
      </w:r>
    </w:p>
    <w:tbl>
      <w:tblPr>
        <w:tblW w:type="auto" w:w="0"/>
        <w:jc w:val="center"/>
        <w:tblLayout w:type="fixed"/>
        <w:tblLook w:firstColumn="1" w:firstRow="1" w:lastColumn="0" w:lastRow="0" w:noHBand="0" w:noVBand="1" w:val="04A0"/>
        <w:tblBorders>
          <w:top w:val="single" w:sz="6" w:space="0" w:color="F2F4F5"/>
          <w:left w:val="single" w:sz="6" w:space="0" w:color="F2F4F5"/>
          <w:bottom w:val="single" w:sz="6" w:space="0" w:color="F2F4F5"/>
          <w:right w:val="single" w:sz="6" w:space="0" w:color="F2F4F5"/>
          <w:insideH w:val="single" w:sz="6" w:space="0" w:color="F2F4F5"/>
          <w:insideV w:val="single" w:sz="6" w:space="0" w:color="F2F4F5"/>
        </w:tblBorders>
      </w:tblPr>
      <w:tblGrid>
        <w:gridCol w:w="2376"/>
        <w:gridCol w:w="2376"/>
        <w:gridCol w:w="2376"/>
        <w:gridCol w:w="2376"/>
      </w:tblGrid>
      <w:tr>
        <w:trPr>
          <w:tblHeader w:val="true"/>
        </w:trPr>
        <w:tc>
          <w:tcPr>
            <w:tcW w:type="dxa" w:w="2880"/>
            <w:shd w:val="clear" w:color="auto" w:fill="F2F4F5"/>
          </w:tcPr>
          <w:p>
            <w:pPr>
              <w:spacing w:before="30" w:after="30" w:line="240" w:lineRule="auto"/>
              <w:jc w:val="left"/>
            </w:pPr>
            <w:r/>
            <w:r>
              <w:rPr>
                <w:rFonts w:ascii="Helvetica" w:hAnsi="Helvetica"/>
                <w:b/>
                <w:color w:val="0B3C5D"/>
                <w:sz w:val="20"/>
              </w:rPr>
              <w:t>Country</w:t>
            </w:r>
          </w:p>
        </w:tc>
        <w:tc>
          <w:tcPr>
            <w:tcW w:type="dxa" w:w="3168"/>
            <w:shd w:val="clear" w:color="auto" w:fill="F2F4F5"/>
          </w:tcPr>
          <w:p>
            <w:pPr>
              <w:spacing w:before="30" w:after="30" w:line="240" w:lineRule="auto"/>
              <w:jc w:val="right"/>
            </w:pPr>
            <w:r/>
            <w:r>
              <w:rPr>
                <w:rFonts w:ascii="Helvetica" w:hAnsi="Helvetica"/>
                <w:b/>
                <w:color w:val="0B3C5D"/>
                <w:sz w:val="20"/>
              </w:rPr>
              <w:t>FY2025 revenue</w:t>
            </w:r>
          </w:p>
        </w:tc>
        <w:tc>
          <w:tcPr>
            <w:tcW w:type="dxa" w:w="2160"/>
            <w:shd w:val="clear" w:color="auto" w:fill="F2F4F5"/>
          </w:tcPr>
          <w:p>
            <w:pPr>
              <w:spacing w:before="30" w:after="30" w:line="240" w:lineRule="auto"/>
              <w:jc w:val="right"/>
            </w:pPr>
            <w:r/>
            <w:r>
              <w:rPr>
                <w:rFonts w:ascii="Helvetica" w:hAnsi="Helvetica"/>
                <w:b/>
                <w:color w:val="0B3C5D"/>
                <w:sz w:val="20"/>
              </w:rPr>
              <w:t>Share of revenue</w:t>
            </w:r>
          </w:p>
        </w:tc>
        <w:tc>
          <w:tcPr>
            <w:tcW w:type="dxa" w:w="1584"/>
            <w:shd w:val="clear" w:color="auto" w:fill="F2F4F5"/>
          </w:tcPr>
          <w:p>
            <w:pPr>
              <w:spacing w:before="30" w:after="30" w:line="240" w:lineRule="auto"/>
              <w:jc w:val="right"/>
            </w:pPr>
            <w:r/>
            <w:r>
              <w:rPr>
                <w:rFonts w:ascii="Helvetica" w:hAnsi="Helvetica"/>
                <w:b/>
                <w:color w:val="0B3C5D"/>
                <w:sz w:val="20"/>
              </w:rPr>
              <w:t>Orders</w:t>
            </w:r>
          </w:p>
        </w:tc>
      </w:tr>
      <w:tr>
        <w:tc>
          <w:tcPr>
            <w:tcW w:type="dxa" w:w="2880"/>
          </w:tcPr>
          <w:p>
            <w:pPr>
              <w:spacing w:before="30" w:after="30" w:line="240" w:lineRule="auto"/>
              <w:jc w:val="left"/>
            </w:pPr>
            <w:r/>
            <w:r>
              <w:rPr>
                <w:rFonts w:ascii="Helvetica" w:hAnsi="Helvetica"/>
                <w:b w:val="0"/>
                <w:color w:val="2B2B2B"/>
                <w:sz w:val="20"/>
              </w:rPr>
              <w:t>Canada</w:t>
            </w:r>
          </w:p>
        </w:tc>
        <w:tc>
          <w:tcPr>
            <w:tcW w:type="dxa" w:w="3168"/>
          </w:tcPr>
          <w:p>
            <w:pPr>
              <w:spacing w:before="30" w:after="30" w:line="240" w:lineRule="auto"/>
              <w:jc w:val="right"/>
            </w:pPr>
            <w:r/>
            <w:r>
              <w:rPr>
                <w:rFonts w:ascii="Helvetica" w:hAnsi="Helvetica"/>
                <w:b w:val="0"/>
                <w:color w:val="2B2B2B"/>
                <w:sz w:val="20"/>
              </w:rPr>
              <w:t>$48,209,042.23</w:t>
            </w:r>
          </w:p>
        </w:tc>
        <w:tc>
          <w:tcPr>
            <w:tcW w:type="dxa" w:w="2160"/>
          </w:tcPr>
          <w:p>
            <w:pPr>
              <w:spacing w:before="30" w:after="30" w:line="240" w:lineRule="auto"/>
              <w:jc w:val="right"/>
            </w:pPr>
            <w:r/>
            <w:r>
              <w:rPr>
                <w:rFonts w:ascii="Helvetica" w:hAnsi="Helvetica"/>
                <w:b w:val="0"/>
                <w:color w:val="2B2B2B"/>
                <w:sz w:val="20"/>
              </w:rPr>
              <w:t>69.7%</w:t>
            </w:r>
          </w:p>
        </w:tc>
        <w:tc>
          <w:tcPr>
            <w:tcW w:type="dxa" w:w="1584"/>
          </w:tcPr>
          <w:p>
            <w:pPr>
              <w:spacing w:before="30" w:after="30" w:line="240" w:lineRule="auto"/>
              <w:jc w:val="right"/>
            </w:pPr>
            <w:r/>
            <w:r>
              <w:rPr>
                <w:rFonts w:ascii="Helvetica" w:hAnsi="Helvetica"/>
                <w:b w:val="0"/>
                <w:color w:val="2B2B2B"/>
                <w:sz w:val="20"/>
              </w:rPr>
              <w:t>4,474</w:t>
            </w:r>
          </w:p>
        </w:tc>
      </w:tr>
      <w:tr>
        <w:tc>
          <w:tcPr>
            <w:tcW w:type="dxa" w:w="2880"/>
            <w:shd w:val="clear" w:color="auto" w:fill="F2F4F5"/>
          </w:tcPr>
          <w:p>
            <w:pPr>
              <w:spacing w:before="30" w:after="30" w:line="240" w:lineRule="auto"/>
              <w:jc w:val="left"/>
            </w:pPr>
            <w:r/>
            <w:r>
              <w:rPr>
                <w:rFonts w:ascii="Helvetica" w:hAnsi="Helvetica"/>
                <w:b w:val="0"/>
                <w:color w:val="2B2B2B"/>
                <w:sz w:val="20"/>
              </w:rPr>
              <w:t>United Arab Emirates</w:t>
            </w:r>
          </w:p>
        </w:tc>
        <w:tc>
          <w:tcPr>
            <w:tcW w:type="dxa" w:w="3168"/>
            <w:shd w:val="clear" w:color="auto" w:fill="F2F4F5"/>
          </w:tcPr>
          <w:p>
            <w:pPr>
              <w:spacing w:before="30" w:after="30" w:line="240" w:lineRule="auto"/>
              <w:jc w:val="right"/>
            </w:pPr>
            <w:r/>
            <w:r>
              <w:rPr>
                <w:rFonts w:ascii="Helvetica" w:hAnsi="Helvetica"/>
                <w:b w:val="0"/>
                <w:color w:val="2B2B2B"/>
                <w:sz w:val="20"/>
              </w:rPr>
              <w:t>$11,726,342.95</w:t>
            </w:r>
          </w:p>
        </w:tc>
        <w:tc>
          <w:tcPr>
            <w:tcW w:type="dxa" w:w="2160"/>
            <w:shd w:val="clear" w:color="auto" w:fill="F2F4F5"/>
          </w:tcPr>
          <w:p>
            <w:pPr>
              <w:spacing w:before="30" w:after="30" w:line="240" w:lineRule="auto"/>
              <w:jc w:val="right"/>
            </w:pPr>
            <w:r/>
            <w:r>
              <w:rPr>
                <w:rFonts w:ascii="Helvetica" w:hAnsi="Helvetica"/>
                <w:b w:val="0"/>
                <w:color w:val="2B2B2B"/>
                <w:sz w:val="20"/>
              </w:rPr>
              <w:t>17.0%</w:t>
            </w:r>
          </w:p>
        </w:tc>
        <w:tc>
          <w:tcPr>
            <w:tcW w:type="dxa" w:w="1584"/>
            <w:shd w:val="clear" w:color="auto" w:fill="F2F4F5"/>
          </w:tcPr>
          <w:p>
            <w:pPr>
              <w:spacing w:before="30" w:after="30" w:line="240" w:lineRule="auto"/>
              <w:jc w:val="right"/>
            </w:pPr>
            <w:r/>
            <w:r>
              <w:rPr>
                <w:rFonts w:ascii="Helvetica" w:hAnsi="Helvetica"/>
                <w:b w:val="0"/>
                <w:color w:val="2B2B2B"/>
                <w:sz w:val="20"/>
              </w:rPr>
              <w:t>1,069</w:t>
            </w:r>
          </w:p>
        </w:tc>
      </w:tr>
      <w:tr>
        <w:tc>
          <w:tcPr>
            <w:tcW w:type="dxa" w:w="2880"/>
          </w:tcPr>
          <w:p>
            <w:pPr>
              <w:spacing w:before="30" w:after="30" w:line="240" w:lineRule="auto"/>
              <w:jc w:val="left"/>
            </w:pPr>
            <w:r/>
            <w:r>
              <w:rPr>
                <w:rFonts w:ascii="Helvetica" w:hAnsi="Helvetica"/>
                <w:b w:val="0"/>
                <w:color w:val="2B2B2B"/>
                <w:sz w:val="20"/>
              </w:rPr>
              <w:t>Saudi Arabia</w:t>
            </w:r>
          </w:p>
        </w:tc>
        <w:tc>
          <w:tcPr>
            <w:tcW w:type="dxa" w:w="3168"/>
          </w:tcPr>
          <w:p>
            <w:pPr>
              <w:spacing w:before="30" w:after="30" w:line="240" w:lineRule="auto"/>
              <w:jc w:val="right"/>
            </w:pPr>
            <w:r/>
            <w:r>
              <w:rPr>
                <w:rFonts w:ascii="Helvetica" w:hAnsi="Helvetica"/>
                <w:b w:val="0"/>
                <w:color w:val="2B2B2B"/>
                <w:sz w:val="20"/>
              </w:rPr>
              <w:t>$3,961,855.28</w:t>
            </w:r>
          </w:p>
        </w:tc>
        <w:tc>
          <w:tcPr>
            <w:tcW w:type="dxa" w:w="2160"/>
          </w:tcPr>
          <w:p>
            <w:pPr>
              <w:spacing w:before="30" w:after="30" w:line="240" w:lineRule="auto"/>
              <w:jc w:val="right"/>
            </w:pPr>
            <w:r/>
            <w:r>
              <w:rPr>
                <w:rFonts w:ascii="Helvetica" w:hAnsi="Helvetica"/>
                <w:b w:val="0"/>
                <w:color w:val="2B2B2B"/>
                <w:sz w:val="20"/>
              </w:rPr>
              <w:t>5.7%</w:t>
            </w:r>
          </w:p>
        </w:tc>
        <w:tc>
          <w:tcPr>
            <w:tcW w:type="dxa" w:w="1584"/>
          </w:tcPr>
          <w:p>
            <w:pPr>
              <w:spacing w:before="30" w:after="30" w:line="240" w:lineRule="auto"/>
              <w:jc w:val="right"/>
            </w:pPr>
            <w:r/>
            <w:r>
              <w:rPr>
                <w:rFonts w:ascii="Helvetica" w:hAnsi="Helvetica"/>
                <w:b w:val="0"/>
                <w:color w:val="2B2B2B"/>
                <w:sz w:val="20"/>
              </w:rPr>
              <w:t>401</w:t>
            </w:r>
          </w:p>
        </w:tc>
      </w:tr>
      <w:tr>
        <w:tc>
          <w:tcPr>
            <w:tcW w:type="dxa" w:w="2880"/>
            <w:shd w:val="clear" w:color="auto" w:fill="F2F4F5"/>
          </w:tcPr>
          <w:p>
            <w:pPr>
              <w:spacing w:before="30" w:after="30" w:line="240" w:lineRule="auto"/>
              <w:jc w:val="left"/>
            </w:pPr>
            <w:r/>
            <w:r>
              <w:rPr>
                <w:rFonts w:ascii="Helvetica" w:hAnsi="Helvetica"/>
                <w:b w:val="0"/>
                <w:color w:val="2B2B2B"/>
                <w:sz w:val="20"/>
              </w:rPr>
              <w:t>United States</w:t>
            </w:r>
          </w:p>
        </w:tc>
        <w:tc>
          <w:tcPr>
            <w:tcW w:type="dxa" w:w="3168"/>
            <w:shd w:val="clear" w:color="auto" w:fill="F2F4F5"/>
          </w:tcPr>
          <w:p>
            <w:pPr>
              <w:spacing w:before="30" w:after="30" w:line="240" w:lineRule="auto"/>
              <w:jc w:val="right"/>
            </w:pPr>
            <w:r/>
            <w:r>
              <w:rPr>
                <w:rFonts w:ascii="Helvetica" w:hAnsi="Helvetica"/>
                <w:b w:val="0"/>
                <w:color w:val="2B2B2B"/>
                <w:sz w:val="20"/>
              </w:rPr>
              <w:t>$2,491,954.15</w:t>
            </w:r>
          </w:p>
        </w:tc>
        <w:tc>
          <w:tcPr>
            <w:tcW w:type="dxa" w:w="2160"/>
            <w:shd w:val="clear" w:color="auto" w:fill="F2F4F5"/>
          </w:tcPr>
          <w:p>
            <w:pPr>
              <w:spacing w:before="30" w:after="30" w:line="240" w:lineRule="auto"/>
              <w:jc w:val="right"/>
            </w:pPr>
            <w:r/>
            <w:r>
              <w:rPr>
                <w:rFonts w:ascii="Helvetica" w:hAnsi="Helvetica"/>
                <w:b w:val="0"/>
                <w:color w:val="2B2B2B"/>
                <w:sz w:val="20"/>
              </w:rPr>
              <w:t>3.6%</w:t>
            </w:r>
          </w:p>
        </w:tc>
        <w:tc>
          <w:tcPr>
            <w:tcW w:type="dxa" w:w="1584"/>
            <w:shd w:val="clear" w:color="auto" w:fill="F2F4F5"/>
          </w:tcPr>
          <w:p>
            <w:pPr>
              <w:spacing w:before="30" w:after="30" w:line="240" w:lineRule="auto"/>
              <w:jc w:val="right"/>
            </w:pPr>
            <w:r/>
            <w:r>
              <w:rPr>
                <w:rFonts w:ascii="Helvetica" w:hAnsi="Helvetica"/>
                <w:b w:val="0"/>
                <w:color w:val="2B2B2B"/>
                <w:sz w:val="20"/>
              </w:rPr>
              <w:t>178</w:t>
            </w:r>
          </w:p>
        </w:tc>
      </w:tr>
      <w:tr>
        <w:tc>
          <w:tcPr>
            <w:tcW w:type="dxa" w:w="2880"/>
          </w:tcPr>
          <w:p>
            <w:pPr>
              <w:spacing w:before="30" w:after="30" w:line="240" w:lineRule="auto"/>
              <w:jc w:val="left"/>
            </w:pPr>
            <w:r/>
            <w:r>
              <w:rPr>
                <w:rFonts w:ascii="Helvetica" w:hAnsi="Helvetica"/>
                <w:b w:val="0"/>
                <w:color w:val="2B2B2B"/>
                <w:sz w:val="20"/>
              </w:rPr>
              <w:t>Qatar</w:t>
            </w:r>
          </w:p>
        </w:tc>
        <w:tc>
          <w:tcPr>
            <w:tcW w:type="dxa" w:w="3168"/>
          </w:tcPr>
          <w:p>
            <w:pPr>
              <w:spacing w:before="30" w:after="30" w:line="240" w:lineRule="auto"/>
              <w:jc w:val="right"/>
            </w:pPr>
            <w:r/>
            <w:r>
              <w:rPr>
                <w:rFonts w:ascii="Helvetica" w:hAnsi="Helvetica"/>
                <w:b w:val="0"/>
                <w:color w:val="2B2B2B"/>
                <w:sz w:val="20"/>
              </w:rPr>
              <w:t>$1,504,454.07</w:t>
            </w:r>
          </w:p>
        </w:tc>
        <w:tc>
          <w:tcPr>
            <w:tcW w:type="dxa" w:w="2160"/>
          </w:tcPr>
          <w:p>
            <w:pPr>
              <w:spacing w:before="30" w:after="30" w:line="240" w:lineRule="auto"/>
              <w:jc w:val="right"/>
            </w:pPr>
            <w:r/>
            <w:r>
              <w:rPr>
                <w:rFonts w:ascii="Helvetica" w:hAnsi="Helvetica"/>
                <w:b w:val="0"/>
                <w:color w:val="2B2B2B"/>
                <w:sz w:val="20"/>
              </w:rPr>
              <w:t>2.2%</w:t>
            </w:r>
          </w:p>
        </w:tc>
        <w:tc>
          <w:tcPr>
            <w:tcW w:type="dxa" w:w="1584"/>
          </w:tcPr>
          <w:p>
            <w:pPr>
              <w:spacing w:before="30" w:after="30" w:line="240" w:lineRule="auto"/>
              <w:jc w:val="right"/>
            </w:pPr>
            <w:r/>
            <w:r>
              <w:rPr>
                <w:rFonts w:ascii="Helvetica" w:hAnsi="Helvetica"/>
                <w:b w:val="0"/>
                <w:color w:val="2B2B2B"/>
                <w:sz w:val="20"/>
              </w:rPr>
              <w:t>114</w:t>
            </w:r>
          </w:p>
        </w:tc>
      </w:tr>
      <w:tr>
        <w:tc>
          <w:tcPr>
            <w:tcW w:type="dxa" w:w="2880"/>
            <w:shd w:val="clear" w:color="auto" w:fill="F2F4F5"/>
          </w:tcPr>
          <w:p>
            <w:pPr>
              <w:spacing w:before="30" w:after="30" w:line="240" w:lineRule="auto"/>
              <w:jc w:val="left"/>
            </w:pPr>
            <w:r/>
            <w:r>
              <w:rPr>
                <w:rFonts w:ascii="Helvetica" w:hAnsi="Helvetica"/>
                <w:b w:val="0"/>
                <w:color w:val="2B2B2B"/>
                <w:sz w:val="20"/>
              </w:rPr>
              <w:t>Oman</w:t>
            </w:r>
          </w:p>
        </w:tc>
        <w:tc>
          <w:tcPr>
            <w:tcW w:type="dxa" w:w="3168"/>
            <w:shd w:val="clear" w:color="auto" w:fill="F2F4F5"/>
          </w:tcPr>
          <w:p>
            <w:pPr>
              <w:spacing w:before="30" w:after="30" w:line="240" w:lineRule="auto"/>
              <w:jc w:val="right"/>
            </w:pPr>
            <w:r/>
            <w:r>
              <w:rPr>
                <w:rFonts w:ascii="Helvetica" w:hAnsi="Helvetica"/>
                <w:b w:val="0"/>
                <w:color w:val="2B2B2B"/>
                <w:sz w:val="20"/>
              </w:rPr>
              <w:t>$1,252,653.88</w:t>
            </w:r>
          </w:p>
        </w:tc>
        <w:tc>
          <w:tcPr>
            <w:tcW w:type="dxa" w:w="2160"/>
            <w:shd w:val="clear" w:color="auto" w:fill="F2F4F5"/>
          </w:tcPr>
          <w:p>
            <w:pPr>
              <w:spacing w:before="30" w:after="30" w:line="240" w:lineRule="auto"/>
              <w:jc w:val="right"/>
            </w:pPr>
            <w:r/>
            <w:r>
              <w:rPr>
                <w:rFonts w:ascii="Helvetica" w:hAnsi="Helvetica"/>
                <w:b w:val="0"/>
                <w:color w:val="2B2B2B"/>
                <w:sz w:val="20"/>
              </w:rPr>
              <w:t>1.8%</w:t>
            </w:r>
          </w:p>
        </w:tc>
        <w:tc>
          <w:tcPr>
            <w:tcW w:type="dxa" w:w="1584"/>
            <w:shd w:val="clear" w:color="auto" w:fill="F2F4F5"/>
          </w:tcPr>
          <w:p>
            <w:pPr>
              <w:spacing w:before="30" w:after="30" w:line="240" w:lineRule="auto"/>
              <w:jc w:val="right"/>
            </w:pPr>
            <w:r/>
            <w:r>
              <w:rPr>
                <w:rFonts w:ascii="Helvetica" w:hAnsi="Helvetica"/>
                <w:b w:val="0"/>
                <w:color w:val="2B2B2B"/>
                <w:sz w:val="20"/>
              </w:rPr>
              <w:t>122</w:t>
            </w:r>
          </w:p>
        </w:tc>
      </w:tr>
    </w:tbl>
    <w:p>
      <w:pPr>
        <w:spacing w:before="40" w:after="220"/>
      </w:pPr>
      <w:r>
        <w:rPr>
          <w:rFonts w:ascii="Helvetica" w:hAnsi="Helvetica"/>
          <w:i/>
          <w:color w:val="2B2B2B"/>
          <w:sz w:val="20"/>
        </w:rPr>
        <w:t>Table 6 — Revenue and orders by country, FY2025.</w:t>
      </w:r>
    </w:p>
    <w:p>
      <w:pPr>
        <w:keepNext/>
        <w:spacing w:before="120" w:after="0"/>
        <w:jc w:val="center"/>
      </w:pPr>
      <w:r>
        <w:drawing>
          <wp:inline xmlns:a="http://schemas.openxmlformats.org/drawingml/2006/main" xmlns:pic="http://schemas.openxmlformats.org/drawingml/2006/picture">
            <wp:extent cx="5669280" cy="2429691"/>
            <wp:docPr id="4" name="Picture 4"/>
            <wp:cNvGraphicFramePr>
              <a:graphicFrameLocks noChangeAspect="1"/>
            </wp:cNvGraphicFramePr>
            <a:graphic>
              <a:graphicData uri="http://schemas.openxmlformats.org/drawingml/2006/picture">
                <pic:pic>
                  <pic:nvPicPr>
                    <pic:cNvPr id="0" name="chart_country.png"/>
                    <pic:cNvPicPr/>
                  </pic:nvPicPr>
                  <pic:blipFill>
                    <a:blip r:embed="rId14"/>
                    <a:stretch>
                      <a:fillRect/>
                    </a:stretch>
                  </pic:blipFill>
                  <pic:spPr>
                    <a:xfrm>
                      <a:off x="0" y="0"/>
                      <a:ext cx="5669280" cy="2429691"/>
                    </a:xfrm>
                    <a:prstGeom prst="rect"/>
                  </pic:spPr>
                </pic:pic>
              </a:graphicData>
            </a:graphic>
          </wp:inline>
        </w:drawing>
      </w:r>
    </w:p>
    <w:p>
      <w:pPr>
        <w:spacing w:before="40" w:after="220"/>
      </w:pPr>
      <w:r>
        <w:rPr>
          <w:rFonts w:ascii="Helvetica" w:hAnsi="Helvetica"/>
          <w:i/>
          <w:color w:val="2B2B2B"/>
          <w:sz w:val="20"/>
        </w:rPr>
        <w:t>Figure 4 — FY2025 revenue by country.</w:t>
      </w:r>
    </w:p>
    <w:p>
      <w:pPr>
        <w:spacing w:after="140" w:before="0"/>
        <w:jc w:val="left"/>
      </w:pPr>
      <w:r>
        <w:rPr>
          <w:rFonts w:ascii="Helvetica" w:hAnsi="Helvetica"/>
          <w:b w:val="0"/>
          <w:i w:val="0"/>
          <w:color w:val="2B2B2B"/>
          <w:sz w:val="21"/>
        </w:rPr>
        <w:t>Canada generated $48,209,042.23, or 69.7% of revenue, across 4,474 orders. The United Arab Emirates was the second market at $11,726,342.95, or 17.0%, across 1,069 orders. Saudi Arabia contributed $3,961,855.28 (5.7%, 401 orders), the United States $2,491,954.15 (3.6%, 178 orders), Qatar $1,504,454.07 (2.2%, 114 orders) and Oman $1,252,653.88 (1.8%, 122 orders).</w:t>
      </w:r>
    </w:p>
    <w:p>
      <w:pPr>
        <w:spacing w:after="140" w:before="0"/>
        <w:jc w:val="left"/>
      </w:pPr>
      <w:r>
        <w:rPr>
          <w:rFonts w:ascii="Helvetica" w:hAnsi="Helvetica"/>
          <w:b w:val="0"/>
          <w:i w:val="0"/>
          <w:color w:val="2B2B2B"/>
          <w:sz w:val="21"/>
        </w:rPr>
        <w:t>The geographic profile mirrors the operating footprint. Canada is served from the Toronto head office and accounts for the majority of revenue and order volume. The four Gulf markets — the UAE, Saudi Arabia, Qatar and Oman — are served from the Dubai Gulf office and together form the international growth platform. The United States is served alongside Canada from Toronto.</w:t>
      </w:r>
    </w:p>
    <w:p>
      <w:pPr>
        <w:spacing w:after="140" w:before="0"/>
        <w:jc w:val="left"/>
      </w:pPr>
      <w:r>
        <w:rPr>
          <w:rFonts w:ascii="Helvetica" w:hAnsi="Helvetica"/>
          <w:b w:val="0"/>
          <w:i w:val="0"/>
          <w:color w:val="2B2B2B"/>
          <w:sz w:val="21"/>
        </w:rPr>
        <w:t>Two features deserve emphasis. First, Canada at 69.7% of revenue is a genuine concentration: conditions in the Canadian market will continue to drive the majority of our results. Second, the Gulf markets are diversified within themselves — the UAE is the largest at 17.0%, while Saudi Arabia, Qatar and Oman each contribute between 1.8% and 5.7%, so no single Gulf market dominates the international book.</w:t>
      </w:r>
    </w:p>
    <w:p>
      <w:r>
        <w:br w:type="page"/>
      </w:r>
    </w:p>
    <w:p>
      <w:pPr>
        <w:pStyle w:val="Heading1"/>
      </w:pPr>
      <w:r>
        <w:t>Risk factors</w:t>
      </w:r>
    </w:p>
    <w:p>
      <w:pPr>
        <w:spacing w:after="140" w:before="0"/>
        <w:jc w:val="left"/>
      </w:pPr>
      <w:r>
        <w:rPr>
          <w:rFonts w:ascii="Helvetica" w:hAnsi="Helvetica"/>
          <w:b w:val="0"/>
          <w:i w:val="0"/>
          <w:color w:val="2B2B2B"/>
          <w:sz w:val="21"/>
        </w:rPr>
        <w:t>The risks below are the ones that matter most to an investor reading this report. We state the concentration risks plainly and without softening, because they are structural features of the business rather than temporary conditions.</w:t>
      </w:r>
    </w:p>
    <w:p>
      <w:pPr>
        <w:pStyle w:val="Heading2"/>
      </w:pPr>
      <w:r>
        <w:t>Category concentration — Material Handling</w:t>
      </w:r>
    </w:p>
    <w:p>
      <w:pPr>
        <w:spacing w:after="140" w:before="0"/>
        <w:jc w:val="left"/>
      </w:pPr>
      <w:r>
        <w:rPr>
          <w:rFonts w:ascii="Helvetica" w:hAnsi="Helvetica"/>
          <w:b/>
          <w:i w:val="0"/>
          <w:color w:val="A63D40"/>
          <w:sz w:val="21"/>
        </w:rPr>
        <w:t>Material Handling accounted for $38,734,228.05, or 56.0% of FY2025 revenue. This is the single largest concentration in the business: more than half of everything Acme Co earns comes from one category.</w:t>
      </w:r>
    </w:p>
    <w:p>
      <w:pPr>
        <w:spacing w:after="140" w:before="0"/>
        <w:jc w:val="left"/>
      </w:pPr>
      <w:r>
        <w:rPr>
          <w:rFonts w:ascii="Helvetica" w:hAnsi="Helvetica"/>
          <w:b w:val="0"/>
          <w:i w:val="0"/>
          <w:color w:val="2B2B2B"/>
          <w:sz w:val="21"/>
        </w:rPr>
        <w:t>The consequence is direct. Demand conditions, pricing, competitive intensity or supply disruption in Material Handling will affect the majority of our revenue, and a decline in that category could not be offset by growth in the smaller categories at their current scale. Material Handling is also where our largest stock positions and supplier relationships sit, so disruption there carries operational as well as commercial risk.</w:t>
      </w:r>
    </w:p>
    <w:p>
      <w:pPr>
        <w:spacing w:after="140" w:before="0"/>
        <w:jc w:val="left"/>
      </w:pPr>
      <w:r>
        <w:rPr>
          <w:rFonts w:ascii="Helvetica" w:hAnsi="Helvetica"/>
          <w:b w:val="0"/>
          <w:i w:val="0"/>
          <w:color w:val="2B2B2B"/>
          <w:sz w:val="21"/>
        </w:rPr>
        <w:t>Mitigation is a matter of mix rather than retreat. We intend to keep investing in Material Handling because it is the core of the offer, while deliberately growing Electrical, Packaging, Tools, Safety &amp; PPE and the other categories so the share of revenue from any single line falls over time.</w:t>
      </w:r>
    </w:p>
    <w:p>
      <w:pPr>
        <w:pStyle w:val="Heading2"/>
      </w:pPr>
      <w:r>
        <w:t>Customer concentration</w:t>
      </w:r>
    </w:p>
    <w:p>
      <w:pPr>
        <w:spacing w:after="140" w:before="0"/>
        <w:jc w:val="left"/>
      </w:pPr>
      <w:r>
        <w:rPr>
          <w:rFonts w:ascii="Helvetica" w:hAnsi="Helvetica"/>
          <w:b/>
          <w:i w:val="0"/>
          <w:color w:val="A63D40"/>
          <w:sz w:val="21"/>
        </w:rPr>
        <w:t>The twenty largest customers accounted for 13.65% of FY2025 revenue. The largest single customer, C0848 Foxglove Stores LLC, accounted for 1.34% of revenue at $926,855.96.</w:t>
      </w:r>
    </w:p>
    <w:p>
      <w:pPr>
        <w:spacing w:after="140" w:before="0"/>
        <w:jc w:val="left"/>
      </w:pPr>
      <w:r>
        <w:rPr>
          <w:rFonts w:ascii="Helvetica" w:hAnsi="Helvetica"/>
          <w:b w:val="0"/>
          <w:i w:val="0"/>
          <w:color w:val="2B2B2B"/>
          <w:sz w:val="21"/>
        </w:rPr>
        <w:t>We state this plainly because it cuts both ways. Customer concentration is limited: no customer exceeds 1.34% of revenue, and the top twenty together are 13.65%, so the loss of any single account would be painful but not destabilising. The corresponding risk is that revenue is spread across a long tail of accounts, so growth depends on winning and retaining many customers rather than a few, and administrative and service costs are spread across a larger customer population. A broad base can also mask gradual attrition, so we track the top twenty accounts closely and treat the 13.65% figure as a measure to be monitored rather than a comfort.</w:t>
      </w:r>
    </w:p>
    <w:p>
      <w:pPr>
        <w:pStyle w:val="Heading2"/>
      </w:pPr>
      <w:r>
        <w:t>Geographic concentration</w:t>
      </w:r>
    </w:p>
    <w:p>
      <w:pPr>
        <w:spacing w:after="140" w:before="0"/>
        <w:jc w:val="left"/>
      </w:pPr>
      <w:r>
        <w:rPr>
          <w:rFonts w:ascii="Helvetica" w:hAnsi="Helvetica"/>
          <w:b/>
          <w:i w:val="0"/>
          <w:color w:val="A63D40"/>
          <w:sz w:val="21"/>
        </w:rPr>
        <w:t>Canada generated 69.7% of FY2025 revenue, or $48,209,042.23 across 4,474 orders.</w:t>
      </w:r>
    </w:p>
    <w:p>
      <w:pPr>
        <w:spacing w:after="140" w:before="0"/>
        <w:jc w:val="left"/>
      </w:pPr>
      <w:r>
        <w:rPr>
          <w:rFonts w:ascii="Helvetica" w:hAnsi="Helvetica"/>
          <w:b w:val="0"/>
          <w:i w:val="0"/>
          <w:color w:val="2B2B2B"/>
          <w:sz w:val="21"/>
        </w:rPr>
        <w:t>The majority of the business depends on one national market and on one office — the Toronto head office. Canadian economic conditions, freight costs, labour availability and currency movements therefore affect most of our results. The Dubai Gulf office provides diversification across the UAE (17.0% of revenue), Saudi Arabia (5.7%), Qatar (2.2%) and Oman (1.8%), but those markets together remain a minority of revenue.</w:t>
      </w:r>
    </w:p>
    <w:p>
      <w:pPr>
        <w:pStyle w:val="Heading2"/>
      </w:pPr>
      <w:r>
        <w:t>Margin and cost risk</w:t>
      </w:r>
    </w:p>
    <w:p>
      <w:pPr>
        <w:spacing w:after="140" w:before="0"/>
        <w:jc w:val="left"/>
      </w:pPr>
      <w:r>
        <w:rPr>
          <w:rFonts w:ascii="Helvetica" w:hAnsi="Helvetica"/>
          <w:b/>
          <w:i w:val="0"/>
          <w:color w:val="A63D40"/>
          <w:sz w:val="21"/>
        </w:rPr>
        <w:t>Gross margin declined 0.4 points, from 30.4% in FY2024 to 30.0% in FY2025, while cost of goods sold rose from $44.6M to $48.4M.</w:t>
      </w:r>
    </w:p>
    <w:p>
      <w:pPr>
        <w:spacing w:after="140" w:before="0"/>
        <w:jc w:val="left"/>
      </w:pPr>
      <w:r>
        <w:rPr>
          <w:rFonts w:ascii="Helvetica" w:hAnsi="Helvetica"/>
          <w:b w:val="0"/>
          <w:i w:val="0"/>
          <w:color w:val="2B2B2B"/>
          <w:sz w:val="21"/>
        </w:rPr>
        <w:t>Gross profit growth of 6.4% trailed revenue growth of 7.9%. If input costs continue to rise faster than we can recover them in pricing, margin will compress further, and because revenue is concentrated in Material Handling, cost movements in that category have an outsized effect on group margin. Protecting margin is therefore a FY2026 priority rather than a background concern.</w:t>
      </w:r>
    </w:p>
    <w:p>
      <w:pPr>
        <w:pStyle w:val="Heading2"/>
      </w:pPr>
      <w:r>
        <w:t>Operational and market risk</w:t>
      </w:r>
    </w:p>
    <w:p>
      <w:pPr>
        <w:spacing w:after="140" w:before="0"/>
        <w:jc w:val="left"/>
      </w:pPr>
      <w:r>
        <w:rPr>
          <w:rFonts w:ascii="Helvetica" w:hAnsi="Helvetica"/>
          <w:b w:val="0"/>
          <w:i w:val="0"/>
          <w:color w:val="2B2B2B"/>
          <w:sz w:val="21"/>
        </w:rPr>
        <w:t>Acme Co fulfils 6,358 orders a year from two offices serving six countries. That model depends on reliable freight, accurate stock positions and functioning cross-border processes. A disruption at either office, or in the freight lanes between them and our customers, would affect order fulfilment directly. Competition in industrial and office supply distribution is a standing risk too: customers can source many of the products we sell from alternative suppliers, so service quality and availability are what retain them.</w:t>
      </w:r>
    </w:p>
    <w:p>
      <w:pPr>
        <w:spacing w:after="140" w:before="0"/>
        <w:jc w:val="left"/>
      </w:pPr>
      <w:r>
        <w:rPr>
          <w:rFonts w:ascii="Helvetica" w:hAnsi="Helvetica"/>
          <w:b w:val="0"/>
          <w:i w:val="0"/>
          <w:color w:val="2B2B2B"/>
          <w:sz w:val="21"/>
        </w:rPr>
        <w:t>Seasonality is a further consideration. FY2025 revenue ranged from $3,693,598.05 in August to $7,982,078.21 in December, so planning, staffing and working capital have to absorb a wide monthly swing. Poor planning against that pattern would show up as either excess stock or missed orders.</w:t>
      </w:r>
    </w:p>
    <w:p>
      <w:r>
        <w:br w:type="page"/>
      </w:r>
    </w:p>
    <w:p>
      <w:pPr>
        <w:pStyle w:val="Heading1"/>
      </w:pPr>
      <w:r>
        <w:t>Outlook for FY2026</w:t>
      </w:r>
    </w:p>
    <w:p>
      <w:pPr>
        <w:spacing w:after="140" w:before="0"/>
        <w:jc w:val="left"/>
      </w:pPr>
      <w:r>
        <w:rPr>
          <w:rFonts w:ascii="Helvetica" w:hAnsi="Helvetica"/>
          <w:b w:val="0"/>
          <w:i w:val="0"/>
          <w:color w:val="2B2B2B"/>
          <w:sz w:val="21"/>
        </w:rPr>
        <w:t>Acme Co enters FY2026 with revenue of $69.1M, gross profit of $20.7M, a gross margin of 30.0% and 6,358 orders behind it. The year just closed delivered growth on revenue (+7.9%), gross profit (+6.4%) and orders (+4.7%), with a 0.4-point decline in gross margin. Our FY2026 agenda builds directly on that position.</w:t>
      </w:r>
    </w:p>
    <w:p>
      <w:pPr>
        <w:pStyle w:val="Heading2"/>
      </w:pPr>
      <w:r>
        <w:t>Grow revenue and orders</w:t>
      </w:r>
    </w:p>
    <w:p>
      <w:pPr>
        <w:spacing w:after="140" w:before="0"/>
        <w:jc w:val="left"/>
      </w:pPr>
      <w:r>
        <w:rPr>
          <w:rFonts w:ascii="Helvetica" w:hAnsi="Helvetica"/>
          <w:b w:val="0"/>
          <w:i w:val="0"/>
          <w:color w:val="2B2B2B"/>
          <w:sz w:val="21"/>
        </w:rPr>
        <w:t>Revenue growth of 7.9% and order growth of 4.7% in FY2025 came from a customer base in which the top twenty accounts represent 13.65% of revenue. Growth in FY2026 will therefore continue to come from breadth: adding customers, deepening existing relationships and extending the categories each customer buys. The two-hub structure — Toronto for Canada and the United States, Dubai for the UAE, Saudi Arabia, Qatar and Oman — is the platform for that work, and both offices will be supported to grow.</w:t>
      </w:r>
    </w:p>
    <w:p>
      <w:pPr>
        <w:pStyle w:val="Heading2"/>
      </w:pPr>
      <w:r>
        <w:t>Recover gross margin</w:t>
      </w:r>
    </w:p>
    <w:p>
      <w:pPr>
        <w:spacing w:after="140" w:before="0"/>
        <w:jc w:val="left"/>
      </w:pPr>
      <w:r>
        <w:rPr>
          <w:rFonts w:ascii="Helvetica" w:hAnsi="Helvetica"/>
          <w:b w:val="0"/>
          <w:i w:val="0"/>
          <w:color w:val="2B2B2B"/>
          <w:sz w:val="21"/>
        </w:rPr>
        <w:t>Gross margin moved from 30.4% to 30.0% in FY2025, a change of -0.4 points, and gross profit growth of 6.4% lagged revenue growth of 7.9%. Recovering that ground is the clearest single improvement available to the business. The work is commercial rather than structural: pricing discipline, category-level margin management and attention to cost of goods sold, which stood at $48.4M in FY2025 against $44.6M in FY2024.</w:t>
      </w:r>
    </w:p>
    <w:p>
      <w:pPr>
        <w:pStyle w:val="Heading2"/>
      </w:pPr>
      <w:r>
        <w:t>Broaden the category mix</w:t>
      </w:r>
    </w:p>
    <w:p>
      <w:pPr>
        <w:spacing w:after="140" w:before="0"/>
        <w:jc w:val="left"/>
      </w:pPr>
      <w:r>
        <w:rPr>
          <w:rFonts w:ascii="Helvetica" w:hAnsi="Helvetica"/>
          <w:b w:val="0"/>
          <w:i w:val="0"/>
          <w:color w:val="2B2B2B"/>
          <w:sz w:val="21"/>
        </w:rPr>
        <w:t>Material Handling at 56.0% of revenue is the concentration we most want to reduce. FY2026 priorities are to hold and grow Material Handling while deliberately building Electrical (17.6% of FY2025 revenue), Packaging (6.4%), Tools (5.4%) and Safety &amp; PPE (4.2%), and to develop the smaller lines — Janitorial (3.7%), Office Supplies (2.2%), Abrasives (1.9%), Fasteners (1.7%) and Adhesives (0.9%) — where the base is lowest and the headroom greatest. Success here reduces risk as well as adding revenue.</w:t>
      </w:r>
    </w:p>
    <w:p>
      <w:pPr>
        <w:pStyle w:val="Heading2"/>
      </w:pPr>
      <w:r>
        <w:t>Keep the customer base broad</w:t>
      </w:r>
    </w:p>
    <w:p>
      <w:pPr>
        <w:spacing w:after="140" w:before="0"/>
        <w:jc w:val="left"/>
      </w:pPr>
      <w:r>
        <w:rPr>
          <w:rFonts w:ascii="Helvetica" w:hAnsi="Helvetica"/>
          <w:b w:val="0"/>
          <w:i w:val="0"/>
          <w:color w:val="2B2B2B"/>
          <w:sz w:val="21"/>
        </w:rPr>
        <w:t>The top twenty customers represent 13.65% of revenue and the largest single customer 1.34%. That is a healthy position and we intend to keep it that way. FY2026 will see continued focus on winning new accounts and retaining the long tail, so that growth does not come at the cost of dependence on a small number of customers.</w:t>
      </w:r>
    </w:p>
    <w:p>
      <w:pPr>
        <w:pStyle w:val="Heading2"/>
      </w:pPr>
      <w:r>
        <w:t>Operate the two-hub model well</w:t>
      </w:r>
    </w:p>
    <w:p>
      <w:pPr>
        <w:spacing w:after="140" w:before="0"/>
        <w:jc w:val="left"/>
      </w:pPr>
      <w:r>
        <w:rPr>
          <w:rFonts w:ascii="Helvetica" w:hAnsi="Helvetica"/>
          <w:b w:val="0"/>
          <w:i w:val="0"/>
          <w:color w:val="2B2B2B"/>
          <w:sz w:val="21"/>
        </w:rPr>
        <w:t>With 6,358 orders fulfilled in FY2025 from Toronto and Dubai across six countries, execution is where the plan is won or lost. Priorities for FY2026 are stock availability in the categories that carry the most revenue, reliable cross-border freight, and planning that absorbs the monthly swing in demand — from the $3,693,598.05 low of August to the $7,982,078.21 high of December.</w:t>
      </w:r>
    </w:p>
    <w:p>
      <w:pPr>
        <w:pStyle w:val="Heading2"/>
      </w:pPr>
      <w:r>
        <w:t>What we will not do</w:t>
      </w:r>
    </w:p>
    <w:p>
      <w:pPr>
        <w:spacing w:after="140" w:before="0"/>
        <w:jc w:val="left"/>
      </w:pPr>
      <w:r>
        <w:rPr>
          <w:rFonts w:ascii="Helvetica" w:hAnsi="Helvetica"/>
          <w:b w:val="0"/>
          <w:i w:val="0"/>
          <w:color w:val="2B2B2B"/>
          <w:sz w:val="21"/>
        </w:rPr>
        <w:t>We will not chase revenue at the expense of margin, and we will not allow the business to become more dependent on a single category or a single customer in pursuit of short-term growth. The FY2025 results show what the model can deliver: 7.9% revenue growth on a broad customer base across six countries. FY2026 is about delivering that again, with a better margin outcome and a more balanced mix.</w:t>
      </w:r>
    </w:p>
    <w:p>
      <w:pPr>
        <w:spacing w:before="0" w:after="200"/>
        <w:pBdr>
          <w:bottom w:val="single" w:sz="8" w:space="1" w:color="0B3C5D"/>
        </w:pBdr>
      </w:pPr>
    </w:p>
    <w:p>
      <w:pPr>
        <w:spacing w:after="0" w:before="0"/>
        <w:jc w:val="left"/>
      </w:pPr>
      <w:r>
        <w:rPr>
          <w:rFonts w:ascii="Helvetica" w:hAnsi="Helvetica"/>
          <w:b w:val="0"/>
          <w:i/>
          <w:color w:val="2B2B2B"/>
          <w:sz w:val="20"/>
        </w:rPr>
        <w:t>This report contains only the figures set out in the FY2025 fact sheet. Acme Co is a fictional company; the offices, customers and results described here are illustrative.</w:t>
      </w:r>
    </w:p>
    <w:sectPr w:rsidR="00FC693F" w:rsidRPr="0006063C" w:rsidSect="00034616">
      <w:headerReference w:type="default" r:id="rId9"/>
      <w:footerReference w:type="default" r:id="rId10"/>
      <w:pgSz w:w="12240" w:h="15840"/>
      <w:pgMar w:top="1872" w:right="1368" w:bottom="1224" w:left="1368" w:header="576" w:footer="57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rPr>
        <w:rFonts w:ascii="Helvetica" w:hAnsi="Helvetica"/>
        <w:color w:val="2B2B2B"/>
        <w:sz w:val="20"/>
      </w:rPr>
      <w:t xml:space="preserve">Acme Co  |  Annual Report FY2025  |  </w:t>
    </w:r>
    <w:r>
      <w:rPr>
        <w:rFonts w:ascii="Helvetica" w:hAnsi="Helvetica"/>
        <w:color w:val="2B2B2B"/>
        <w:sz w:val="20"/>
      </w:rP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40"/>
      <w:jc w:val="left"/>
      <w:pBdr>
        <w:bottom w:val="single" w:sz="6" w:space="4" w:color="0B3C5D"/>
      </w:pBdr>
    </w:pPr>
    <w:r>
      <w:drawing>
        <wp:inline xmlns:a="http://schemas.openxmlformats.org/drawingml/2006/main" xmlns:pic="http://schemas.openxmlformats.org/drawingml/2006/picture">
          <wp:extent cx="1152000" cy="1152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152000" cy="1152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4" w:lineRule="auto"/>
    </w:pPr>
    <w:rPr>
      <w:rFonts w:ascii="Helvetica" w:hAnsi="Helvetica"/>
      <w:color w:val="2B2B2B"/>
      <w:sz w:val="21"/>
      <w:rFonts w:ascii="Helvetica" w:hAnsi="Helvetica" w:cs="Helvetica" w:eastAsia="Helvetic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 w:after="160"/>
      <w:outlineLvl w:val="0"/>
    </w:pPr>
    <w:rPr>
      <w:rFonts w:asciiTheme="majorHAnsi" w:eastAsiaTheme="majorEastAsia" w:hAnsiTheme="majorHAnsi" w:cstheme="majorBidi" w:ascii="Helvetica" w:hAnsi="Helvetica"/>
      <w:b/>
      <w:bCs/>
      <w:i w:val="0"/>
      <w:color w:val="0B3C5D"/>
      <w:sz w:val="48"/>
      <w:szCs w:val="28"/>
      <w:rFonts w:ascii="Helvetica" w:hAnsi="Helvetica" w:cs="Helvetica" w:eastAsia="Helvetica"/>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Helvetica" w:hAnsi="Helvetica"/>
      <w:b/>
      <w:bCs/>
      <w:i w:val="0"/>
      <w:color w:val="0B3C5D"/>
      <w:sz w:val="26"/>
      <w:szCs w:val="26"/>
      <w:rFonts w:ascii="Helvetica" w:hAnsi="Helvetica" w:cs="Helvetica" w:eastAsia="Helvetica"/>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